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B0" w:rsidRPr="00286B83" w:rsidRDefault="000D1E32" w:rsidP="007A24B4">
      <w:pPr>
        <w:widowControl/>
        <w:spacing w:line="301" w:lineRule="atLeast"/>
        <w:jc w:val="center"/>
        <w:outlineLvl w:val="5"/>
        <w:rPr>
          <w:rFonts w:ascii="宋体" w:hAnsi="宋体" w:cs="Tahoma"/>
          <w:b/>
          <w:bCs/>
          <w:kern w:val="0"/>
          <w:sz w:val="28"/>
          <w:szCs w:val="28"/>
        </w:rPr>
      </w:pPr>
      <w:r w:rsidRPr="00286B83">
        <w:rPr>
          <w:rFonts w:ascii="宋体" w:hAnsi="宋体" w:cs="Tahoma"/>
          <w:b/>
          <w:bCs/>
          <w:kern w:val="0"/>
          <w:sz w:val="28"/>
          <w:szCs w:val="28"/>
        </w:rPr>
        <w:t>关于</w:t>
      </w:r>
      <w:r w:rsidR="00D42EC6" w:rsidRPr="00286B83">
        <w:rPr>
          <w:rFonts w:ascii="宋体" w:hAnsi="宋体" w:cs="Tahoma" w:hint="eastAsia"/>
          <w:b/>
          <w:bCs/>
          <w:kern w:val="0"/>
          <w:sz w:val="28"/>
          <w:szCs w:val="28"/>
        </w:rPr>
        <w:t>财通基金</w:t>
      </w:r>
      <w:r w:rsidRPr="00286B83">
        <w:rPr>
          <w:rFonts w:ascii="宋体" w:hAnsi="宋体" w:cs="Tahoma"/>
          <w:b/>
          <w:bCs/>
          <w:kern w:val="0"/>
          <w:sz w:val="28"/>
          <w:szCs w:val="28"/>
        </w:rPr>
        <w:t>增加</w:t>
      </w:r>
      <w:r w:rsidR="00357D6E">
        <w:rPr>
          <w:rFonts w:ascii="宋体" w:hAnsi="宋体" w:cs="Tahoma" w:hint="eastAsia"/>
          <w:b/>
          <w:bCs/>
          <w:kern w:val="0"/>
          <w:sz w:val="28"/>
          <w:szCs w:val="28"/>
        </w:rPr>
        <w:t>上海天天基金销售有限公司</w:t>
      </w:r>
      <w:r w:rsidR="00B90E52" w:rsidRPr="00286B83">
        <w:rPr>
          <w:rFonts w:ascii="宋体" w:hAnsi="宋体" w:cs="Tahoma" w:hint="eastAsia"/>
          <w:b/>
          <w:bCs/>
          <w:kern w:val="0"/>
          <w:sz w:val="28"/>
          <w:szCs w:val="28"/>
        </w:rPr>
        <w:t>为</w:t>
      </w:r>
      <w:r w:rsidRPr="00286B83">
        <w:rPr>
          <w:rFonts w:ascii="宋体" w:hAnsi="宋体" w:cs="Tahoma"/>
          <w:b/>
          <w:bCs/>
          <w:kern w:val="0"/>
          <w:sz w:val="28"/>
          <w:szCs w:val="28"/>
        </w:rPr>
        <w:t>代销机构</w:t>
      </w:r>
    </w:p>
    <w:p w:rsidR="00957E8F" w:rsidRPr="00286B83" w:rsidRDefault="00800EB7" w:rsidP="007A24B4">
      <w:pPr>
        <w:widowControl/>
        <w:spacing w:line="301" w:lineRule="atLeast"/>
        <w:jc w:val="center"/>
        <w:outlineLvl w:val="5"/>
        <w:rPr>
          <w:rFonts w:ascii="宋体" w:hAnsi="宋体" w:cs="Tahoma"/>
          <w:b/>
          <w:bCs/>
          <w:kern w:val="0"/>
          <w:sz w:val="28"/>
          <w:szCs w:val="28"/>
        </w:rPr>
      </w:pPr>
      <w:r w:rsidRPr="00286B83">
        <w:rPr>
          <w:rFonts w:ascii="宋体" w:hAnsi="宋体" w:cs="Tahoma" w:hint="eastAsia"/>
          <w:b/>
          <w:bCs/>
          <w:kern w:val="0"/>
          <w:sz w:val="28"/>
          <w:szCs w:val="28"/>
        </w:rPr>
        <w:t>并参</w:t>
      </w:r>
      <w:r w:rsidR="002C79AB" w:rsidRPr="00286B83">
        <w:rPr>
          <w:rFonts w:ascii="宋体" w:hAnsi="宋体" w:cs="Tahoma" w:hint="eastAsia"/>
          <w:b/>
          <w:bCs/>
          <w:kern w:val="0"/>
          <w:sz w:val="28"/>
          <w:szCs w:val="28"/>
        </w:rPr>
        <w:t>加</w:t>
      </w:r>
      <w:r w:rsidR="00226C07" w:rsidRPr="00286B83">
        <w:rPr>
          <w:rFonts w:ascii="宋体" w:hAnsi="宋体" w:cs="Tahoma" w:hint="eastAsia"/>
          <w:b/>
          <w:bCs/>
          <w:kern w:val="0"/>
          <w:sz w:val="28"/>
          <w:szCs w:val="28"/>
        </w:rPr>
        <w:t>基金申购</w:t>
      </w:r>
      <w:r w:rsidRPr="00286B83">
        <w:rPr>
          <w:rFonts w:ascii="宋体" w:hAnsi="宋体" w:cs="Tahoma" w:hint="eastAsia"/>
          <w:b/>
          <w:bCs/>
          <w:kern w:val="0"/>
          <w:sz w:val="28"/>
          <w:szCs w:val="28"/>
        </w:rPr>
        <w:t>费率优惠活动</w:t>
      </w:r>
      <w:r w:rsidR="000D1E32" w:rsidRPr="00286B83">
        <w:rPr>
          <w:rFonts w:ascii="宋体" w:hAnsi="宋体" w:cs="Tahoma"/>
          <w:b/>
          <w:bCs/>
          <w:kern w:val="0"/>
          <w:sz w:val="28"/>
          <w:szCs w:val="28"/>
        </w:rPr>
        <w:t>的公告</w:t>
      </w:r>
    </w:p>
    <w:p w:rsidR="00AB22C4" w:rsidRPr="009B6A1E" w:rsidRDefault="003E311A" w:rsidP="00AB22C4">
      <w:pPr>
        <w:widowControl/>
        <w:spacing w:before="100" w:beforeAutospacing="1" w:after="100" w:afterAutospacing="1" w:line="360" w:lineRule="auto"/>
        <w:ind w:firstLineChars="200" w:firstLine="480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一、根据财通基金管理有限公司</w:t>
      </w:r>
      <w:r w:rsidR="00E709DB" w:rsidRPr="00286B83">
        <w:rPr>
          <w:rFonts w:ascii="宋体" w:hAnsi="宋体" w:cs="Tahoma" w:hint="eastAsia"/>
          <w:bCs/>
          <w:kern w:val="0"/>
          <w:sz w:val="24"/>
          <w:szCs w:val="24"/>
        </w:rPr>
        <w:t>（下称“本公司”）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与</w:t>
      </w:r>
      <w:r w:rsidR="00C60C94" w:rsidRPr="00C60C94">
        <w:rPr>
          <w:rFonts w:ascii="宋体" w:hAnsi="宋体" w:cs="Tahoma" w:hint="eastAsia"/>
          <w:bCs/>
          <w:kern w:val="0"/>
          <w:sz w:val="24"/>
          <w:szCs w:val="24"/>
        </w:rPr>
        <w:t>上海天天基金销售有限公司</w:t>
      </w:r>
      <w:r w:rsidR="00E709DB" w:rsidRPr="00286B83">
        <w:rPr>
          <w:rFonts w:ascii="宋体" w:hAnsi="宋体" w:cs="Tahoma" w:hint="eastAsia"/>
          <w:bCs/>
          <w:kern w:val="0"/>
          <w:sz w:val="24"/>
          <w:szCs w:val="24"/>
        </w:rPr>
        <w:t>（下称：</w:t>
      </w:r>
      <w:r w:rsidR="00357D6E" w:rsidRPr="00286B83">
        <w:rPr>
          <w:rFonts w:ascii="宋体" w:hAnsi="宋体" w:cs="Tahoma" w:hint="eastAsia"/>
          <w:bCs/>
          <w:kern w:val="0"/>
          <w:sz w:val="24"/>
          <w:szCs w:val="24"/>
        </w:rPr>
        <w:t>“</w:t>
      </w:r>
      <w:r w:rsidR="00357D6E">
        <w:rPr>
          <w:rFonts w:ascii="宋体" w:hAnsi="宋体" w:cs="Tahoma" w:hint="eastAsia"/>
          <w:bCs/>
          <w:kern w:val="0"/>
          <w:sz w:val="24"/>
          <w:szCs w:val="24"/>
        </w:rPr>
        <w:t>天天基金</w:t>
      </w:r>
      <w:r w:rsidR="00357D6E" w:rsidRPr="00286B83">
        <w:rPr>
          <w:rFonts w:ascii="宋体" w:hAnsi="宋体" w:cs="Tahoma" w:hint="eastAsia"/>
          <w:bCs/>
          <w:kern w:val="0"/>
          <w:sz w:val="24"/>
          <w:szCs w:val="24"/>
        </w:rPr>
        <w:t>”</w:t>
      </w:r>
      <w:r w:rsidR="00E709DB" w:rsidRPr="00286B83">
        <w:rPr>
          <w:rFonts w:ascii="宋体" w:hAnsi="宋体" w:cs="Tahoma" w:hint="eastAsia"/>
          <w:bCs/>
          <w:kern w:val="0"/>
          <w:sz w:val="24"/>
          <w:szCs w:val="24"/>
        </w:rPr>
        <w:t>）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签署的开放式证券投资基金销售代理协议,自</w:t>
      </w:r>
      <w:r w:rsidR="00851C27" w:rsidRPr="00E03BC8">
        <w:rPr>
          <w:rFonts w:hint="eastAsia"/>
          <w:sz w:val="24"/>
        </w:rPr>
        <w:t>201</w:t>
      </w:r>
      <w:r w:rsidR="00851C27">
        <w:rPr>
          <w:rFonts w:hint="eastAsia"/>
          <w:sz w:val="24"/>
        </w:rPr>
        <w:t>4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年</w:t>
      </w:r>
      <w:r w:rsidR="00851C27">
        <w:rPr>
          <w:rFonts w:hint="eastAsia"/>
          <w:sz w:val="24"/>
        </w:rPr>
        <w:t>9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月</w:t>
      </w:r>
      <w:r w:rsidR="00851C27">
        <w:rPr>
          <w:rFonts w:hint="eastAsia"/>
          <w:sz w:val="24"/>
        </w:rPr>
        <w:t>29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日起</w:t>
      </w:r>
      <w:r w:rsidR="00F56FA9" w:rsidRPr="00286B83">
        <w:rPr>
          <w:rFonts w:ascii="宋体" w:hAnsi="宋体" w:cs="Tahoma" w:hint="eastAsia"/>
          <w:bCs/>
          <w:kern w:val="0"/>
          <w:sz w:val="24"/>
          <w:szCs w:val="24"/>
        </w:rPr>
        <w:t>,</w:t>
      </w:r>
      <w:r w:rsidR="00357D6E">
        <w:rPr>
          <w:rFonts w:ascii="宋体" w:hAnsi="宋体" w:hint="eastAsia"/>
          <w:sz w:val="24"/>
        </w:rPr>
        <w:t>天天基金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将代理</w:t>
      </w:r>
      <w:r w:rsidR="00E709DB" w:rsidRPr="00286B83">
        <w:rPr>
          <w:rFonts w:ascii="宋体" w:hAnsi="宋体" w:cs="Tahoma" w:hint="eastAsia"/>
          <w:bCs/>
          <w:kern w:val="0"/>
          <w:sz w:val="24"/>
          <w:szCs w:val="24"/>
        </w:rPr>
        <w:t>本公司</w:t>
      </w:r>
      <w:r w:rsidR="00FA3A84" w:rsidRPr="00286B83">
        <w:rPr>
          <w:rFonts w:ascii="宋体" w:hAnsi="宋体" w:cs="Tahoma" w:hint="eastAsia"/>
          <w:bCs/>
          <w:kern w:val="0"/>
          <w:sz w:val="24"/>
          <w:szCs w:val="24"/>
        </w:rPr>
        <w:t>旗下</w:t>
      </w:r>
      <w:r w:rsidR="00AB22C4" w:rsidRPr="009B6A1E">
        <w:rPr>
          <w:rFonts w:ascii="宋体" w:hAnsi="宋体" w:cs="Tahoma" w:hint="eastAsia"/>
          <w:bCs/>
          <w:kern w:val="0"/>
          <w:sz w:val="24"/>
          <w:szCs w:val="24"/>
        </w:rPr>
        <w:t>财通价值动量混合型证券投资基金（基金代码：</w:t>
      </w:r>
      <w:r w:rsidR="00AB22C4" w:rsidRPr="00D00771">
        <w:rPr>
          <w:rFonts w:hint="eastAsia"/>
          <w:sz w:val="24"/>
        </w:rPr>
        <w:t>72000</w:t>
      </w:r>
      <w:r w:rsidR="00AB22C4" w:rsidRPr="00D6140C">
        <w:rPr>
          <w:rFonts w:hint="eastAsia"/>
          <w:sz w:val="24"/>
        </w:rPr>
        <w:t>1</w:t>
      </w:r>
      <w:r w:rsidR="00AB22C4" w:rsidRPr="009B6A1E">
        <w:rPr>
          <w:rFonts w:ascii="宋体" w:hAnsi="宋体" w:cs="Tahoma" w:hint="eastAsia"/>
          <w:bCs/>
          <w:kern w:val="0"/>
          <w:sz w:val="24"/>
          <w:szCs w:val="24"/>
        </w:rPr>
        <w:t>）、财通多策略稳健增长债券型证券投资基金（基金代码：</w:t>
      </w:r>
      <w:r w:rsidR="00AB22C4" w:rsidRPr="00D00771">
        <w:rPr>
          <w:rFonts w:hint="eastAsia"/>
          <w:sz w:val="24"/>
        </w:rPr>
        <w:t>720002</w:t>
      </w:r>
      <w:r w:rsidR="00AB22C4" w:rsidRPr="009B6A1E">
        <w:rPr>
          <w:rFonts w:ascii="宋体" w:hAnsi="宋体" w:cs="Tahoma" w:hint="eastAsia"/>
          <w:bCs/>
          <w:kern w:val="0"/>
          <w:sz w:val="24"/>
          <w:szCs w:val="24"/>
        </w:rPr>
        <w:t>）、财通保本混合型发起式证券投资基金（基金代码：</w:t>
      </w:r>
      <w:r w:rsidR="00AB22C4" w:rsidRPr="00D00771">
        <w:rPr>
          <w:rFonts w:hint="eastAsia"/>
          <w:sz w:val="24"/>
        </w:rPr>
        <w:t>720003</w:t>
      </w:r>
      <w:r w:rsidR="00AB22C4" w:rsidRPr="009B6A1E">
        <w:rPr>
          <w:rFonts w:ascii="宋体" w:hAnsi="宋体" w:cs="Tahoma" w:hint="eastAsia"/>
          <w:bCs/>
          <w:kern w:val="0"/>
          <w:sz w:val="24"/>
          <w:szCs w:val="24"/>
        </w:rPr>
        <w:t>）、</w:t>
      </w:r>
      <w:r w:rsidR="00AB22C4" w:rsidRPr="009B6A1E">
        <w:rPr>
          <w:rFonts w:ascii="宋体" w:hint="eastAsia"/>
          <w:sz w:val="24"/>
        </w:rPr>
        <w:t>中证财通中国可持续发展</w:t>
      </w:r>
      <w:r w:rsidR="00AB22C4" w:rsidRPr="00D00771">
        <w:rPr>
          <w:rFonts w:hint="eastAsia"/>
          <w:sz w:val="24"/>
        </w:rPr>
        <w:t>100</w:t>
      </w:r>
      <w:r w:rsidR="00AB22C4" w:rsidRPr="00D00771">
        <w:rPr>
          <w:rFonts w:hint="eastAsia"/>
          <w:sz w:val="24"/>
        </w:rPr>
        <w:t>（</w:t>
      </w:r>
      <w:r w:rsidR="00AB22C4" w:rsidRPr="00D00771">
        <w:rPr>
          <w:rFonts w:hint="eastAsia"/>
          <w:sz w:val="24"/>
        </w:rPr>
        <w:t>ECPI ESG</w:t>
      </w:r>
      <w:r w:rsidR="00AB22C4" w:rsidRPr="00D00771">
        <w:rPr>
          <w:rFonts w:hint="eastAsia"/>
          <w:sz w:val="24"/>
        </w:rPr>
        <w:t>）</w:t>
      </w:r>
      <w:r w:rsidR="00AB22C4" w:rsidRPr="009B6A1E">
        <w:rPr>
          <w:rFonts w:ascii="宋体" w:hint="eastAsia"/>
          <w:sz w:val="24"/>
        </w:rPr>
        <w:t>指数增强型证券投资基金（基金代码：</w:t>
      </w:r>
      <w:r w:rsidR="00AB22C4" w:rsidRPr="00D00771">
        <w:rPr>
          <w:rFonts w:hint="eastAsia"/>
          <w:sz w:val="24"/>
        </w:rPr>
        <w:t>000042</w:t>
      </w:r>
      <w:r w:rsidR="00AB22C4" w:rsidRPr="009B6A1E">
        <w:rPr>
          <w:rFonts w:ascii="宋体" w:hint="eastAsia"/>
          <w:sz w:val="24"/>
        </w:rPr>
        <w:t>）</w:t>
      </w:r>
      <w:r w:rsidR="00AB22C4" w:rsidRPr="009B6A1E">
        <w:rPr>
          <w:rFonts w:ascii="宋体" w:hAnsi="宋体" w:cs="Tahoma" w:hint="eastAsia"/>
          <w:bCs/>
          <w:kern w:val="0"/>
          <w:sz w:val="24"/>
          <w:szCs w:val="24"/>
        </w:rPr>
        <w:t>及</w:t>
      </w:r>
      <w:r w:rsidR="00AB22C4" w:rsidRPr="009B6A1E">
        <w:rPr>
          <w:rFonts w:ascii="宋体" w:hint="eastAsia"/>
          <w:sz w:val="24"/>
        </w:rPr>
        <w:t>财通可持续发展主题股票型证券投资基金（基金代码：</w:t>
      </w:r>
      <w:r w:rsidR="00AB22C4" w:rsidRPr="00D00771">
        <w:rPr>
          <w:rFonts w:hint="eastAsia"/>
          <w:sz w:val="24"/>
        </w:rPr>
        <w:t>000017</w:t>
      </w:r>
      <w:r w:rsidR="00AB22C4" w:rsidRPr="009B6A1E">
        <w:rPr>
          <w:rFonts w:ascii="宋体" w:hint="eastAsia"/>
          <w:sz w:val="24"/>
        </w:rPr>
        <w:t>）</w:t>
      </w:r>
      <w:r w:rsidR="00AB22C4" w:rsidRPr="009B6A1E">
        <w:rPr>
          <w:rFonts w:ascii="宋体" w:hAnsi="宋体" w:cs="Tahoma" w:hint="eastAsia"/>
          <w:bCs/>
          <w:kern w:val="0"/>
          <w:sz w:val="24"/>
          <w:szCs w:val="24"/>
        </w:rPr>
        <w:t>的销售业务。</w:t>
      </w:r>
    </w:p>
    <w:p w:rsidR="003E311A" w:rsidRPr="00286B83" w:rsidRDefault="003E311A" w:rsidP="00A85922">
      <w:pPr>
        <w:widowControl/>
        <w:spacing w:before="100" w:beforeAutospacing="1" w:after="100" w:afterAutospacing="1" w:line="360" w:lineRule="auto"/>
        <w:ind w:firstLineChars="200" w:firstLine="480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二、自</w:t>
      </w:r>
      <w:r w:rsidR="00851C27" w:rsidRPr="008053C5">
        <w:rPr>
          <w:rFonts w:hint="eastAsia"/>
          <w:sz w:val="24"/>
        </w:rPr>
        <w:t>201</w:t>
      </w:r>
      <w:r w:rsidR="00851C27">
        <w:rPr>
          <w:rFonts w:hint="eastAsia"/>
          <w:sz w:val="24"/>
        </w:rPr>
        <w:t>4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年</w:t>
      </w:r>
      <w:r w:rsidR="00851C27">
        <w:rPr>
          <w:rFonts w:hint="eastAsia"/>
          <w:sz w:val="24"/>
        </w:rPr>
        <w:t>9</w:t>
      </w:r>
      <w:r w:rsidR="00851C27" w:rsidRPr="008053C5">
        <w:rPr>
          <w:rFonts w:hint="eastAsia"/>
          <w:sz w:val="24"/>
        </w:rPr>
        <w:t>月</w:t>
      </w:r>
      <w:r w:rsidR="00851C27">
        <w:rPr>
          <w:rFonts w:hint="eastAsia"/>
          <w:sz w:val="24"/>
        </w:rPr>
        <w:t>29</w:t>
      </w:r>
      <w:r w:rsidRPr="008053C5">
        <w:rPr>
          <w:rFonts w:hint="eastAsia"/>
          <w:sz w:val="24"/>
        </w:rPr>
        <w:t>日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起,投资者可</w:t>
      </w:r>
      <w:r w:rsidR="00E64F9D" w:rsidRPr="00286B83">
        <w:rPr>
          <w:rFonts w:ascii="宋体" w:hAnsi="宋体" w:cs="Tahoma" w:hint="eastAsia"/>
          <w:bCs/>
          <w:kern w:val="0"/>
          <w:sz w:val="24"/>
          <w:szCs w:val="24"/>
        </w:rPr>
        <w:t>以</w:t>
      </w:r>
      <w:r w:rsidR="00C434DA" w:rsidRPr="00286B83">
        <w:rPr>
          <w:rFonts w:ascii="宋体" w:hAnsi="宋体" w:cs="Tahoma" w:hint="eastAsia"/>
          <w:bCs/>
          <w:kern w:val="0"/>
          <w:sz w:val="24"/>
          <w:szCs w:val="24"/>
        </w:rPr>
        <w:t>通过</w:t>
      </w:r>
      <w:r w:rsidR="00357D6E">
        <w:rPr>
          <w:rFonts w:ascii="宋体" w:hAnsi="宋体" w:hint="eastAsia"/>
          <w:sz w:val="24"/>
        </w:rPr>
        <w:t>天天基金</w:t>
      </w:r>
      <w:r w:rsidR="00E64F9D" w:rsidRPr="00286B83">
        <w:rPr>
          <w:rFonts w:ascii="宋体" w:hAnsi="宋体" w:cs="Tahoma" w:hint="eastAsia"/>
          <w:bCs/>
          <w:kern w:val="0"/>
          <w:sz w:val="24"/>
          <w:szCs w:val="24"/>
        </w:rPr>
        <w:t>的</w:t>
      </w:r>
      <w:r w:rsidR="006310F6" w:rsidRPr="00286B83">
        <w:rPr>
          <w:rFonts w:ascii="宋体" w:hAnsi="宋体" w:cs="Tahoma" w:hint="eastAsia"/>
          <w:bCs/>
          <w:kern w:val="0"/>
          <w:sz w:val="24"/>
          <w:szCs w:val="24"/>
        </w:rPr>
        <w:t>指定</w:t>
      </w:r>
      <w:r w:rsidR="00E64F9D" w:rsidRPr="00286B83">
        <w:rPr>
          <w:rFonts w:ascii="宋体" w:hAnsi="宋体" w:cs="Tahoma" w:hint="eastAsia"/>
          <w:bCs/>
          <w:kern w:val="0"/>
          <w:sz w:val="24"/>
          <w:szCs w:val="24"/>
        </w:rPr>
        <w:t>方式</w:t>
      </w:r>
      <w:r w:rsidR="006310F6" w:rsidRPr="00286B83">
        <w:rPr>
          <w:rFonts w:ascii="宋体" w:hAnsi="宋体" w:cs="Tahoma" w:hint="eastAsia"/>
          <w:bCs/>
          <w:kern w:val="0"/>
          <w:sz w:val="24"/>
          <w:szCs w:val="24"/>
        </w:rPr>
        <w:t>办理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基金</w:t>
      </w:r>
      <w:r w:rsidR="00ED2C00" w:rsidRPr="00286B83">
        <w:rPr>
          <w:rFonts w:ascii="宋体" w:hAnsi="宋体" w:cs="Tahoma" w:hint="eastAsia"/>
          <w:bCs/>
          <w:kern w:val="0"/>
          <w:sz w:val="24"/>
          <w:szCs w:val="24"/>
        </w:rPr>
        <w:t>账户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的开户</w:t>
      </w:r>
      <w:r w:rsidR="0018551B" w:rsidRPr="00286B83">
        <w:rPr>
          <w:rFonts w:ascii="宋体" w:hAnsi="宋体" w:cs="Tahoma" w:hint="eastAsia"/>
          <w:bCs/>
          <w:kern w:val="0"/>
          <w:sz w:val="24"/>
          <w:szCs w:val="24"/>
        </w:rPr>
        <w:t>及</w:t>
      </w:r>
      <w:r w:rsidR="00180D34" w:rsidRPr="00286B83">
        <w:rPr>
          <w:rFonts w:ascii="宋体" w:hAnsi="宋体" w:cs="Tahoma" w:hint="eastAsia"/>
          <w:bCs/>
          <w:kern w:val="0"/>
          <w:sz w:val="24"/>
          <w:szCs w:val="24"/>
        </w:rPr>
        <w:t>上述基金</w:t>
      </w:r>
      <w:r w:rsidR="00F56FA9" w:rsidRPr="00286B83">
        <w:rPr>
          <w:rFonts w:ascii="宋体" w:hAnsi="宋体" w:cs="Tahoma" w:hint="eastAsia"/>
          <w:bCs/>
          <w:kern w:val="0"/>
          <w:sz w:val="24"/>
          <w:szCs w:val="24"/>
        </w:rPr>
        <w:t>的申购、赎回</w:t>
      </w:r>
      <w:r w:rsidR="009770EA" w:rsidRPr="00286B83">
        <w:rPr>
          <w:rFonts w:ascii="宋体" w:hAnsi="宋体" w:cs="Tahoma" w:hint="eastAsia"/>
          <w:bCs/>
          <w:kern w:val="0"/>
          <w:sz w:val="24"/>
          <w:szCs w:val="24"/>
        </w:rPr>
        <w:t>、定期定额投资及转换</w:t>
      </w:r>
      <w:r w:rsidR="00F56FA9" w:rsidRPr="00286B83">
        <w:rPr>
          <w:rFonts w:ascii="宋体" w:hAnsi="宋体" w:cs="Tahoma" w:hint="eastAsia"/>
          <w:bCs/>
          <w:kern w:val="0"/>
          <w:sz w:val="24"/>
          <w:szCs w:val="24"/>
        </w:rPr>
        <w:t>等业务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。</w:t>
      </w:r>
    </w:p>
    <w:p w:rsidR="00D6001C" w:rsidRPr="00286B83" w:rsidRDefault="00051D8A" w:rsidP="009B2AEC">
      <w:pPr>
        <w:spacing w:line="460" w:lineRule="exact"/>
        <w:ind w:firstLineChars="200" w:firstLine="480"/>
        <w:rPr>
          <w:sz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三、自</w:t>
      </w:r>
      <w:r w:rsidR="00851C27" w:rsidRPr="008053C5">
        <w:rPr>
          <w:rFonts w:hint="eastAsia"/>
          <w:sz w:val="24"/>
        </w:rPr>
        <w:t>201</w:t>
      </w:r>
      <w:r w:rsidR="00851C27">
        <w:rPr>
          <w:rFonts w:hint="eastAsia"/>
          <w:sz w:val="24"/>
        </w:rPr>
        <w:t>4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年</w:t>
      </w:r>
      <w:r w:rsidR="00851C27">
        <w:rPr>
          <w:rFonts w:hint="eastAsia"/>
          <w:sz w:val="24"/>
        </w:rPr>
        <w:t>9</w:t>
      </w:r>
      <w:r w:rsidR="00851C27" w:rsidRPr="008053C5">
        <w:rPr>
          <w:rFonts w:hint="eastAsia"/>
          <w:sz w:val="24"/>
        </w:rPr>
        <w:t>月</w:t>
      </w:r>
      <w:r w:rsidR="00851C27">
        <w:rPr>
          <w:rFonts w:hint="eastAsia"/>
          <w:sz w:val="24"/>
        </w:rPr>
        <w:t>29</w:t>
      </w:r>
      <w:r w:rsidR="00AC64CB" w:rsidRPr="008053C5">
        <w:rPr>
          <w:rFonts w:hint="eastAsia"/>
          <w:sz w:val="24"/>
        </w:rPr>
        <w:t>日</w:t>
      </w:r>
      <w:r w:rsidR="00AC64CB" w:rsidRPr="00286B83">
        <w:rPr>
          <w:rFonts w:ascii="宋体" w:hAnsi="宋体" w:cs="Tahoma" w:hint="eastAsia"/>
          <w:bCs/>
          <w:kern w:val="0"/>
          <w:sz w:val="24"/>
          <w:szCs w:val="24"/>
        </w:rPr>
        <w:t>起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，</w:t>
      </w:r>
      <w:r w:rsidR="00A34EC3" w:rsidRPr="00286B83">
        <w:rPr>
          <w:rFonts w:hint="eastAsia"/>
          <w:sz w:val="24"/>
        </w:rPr>
        <w:t>投资者</w:t>
      </w:r>
      <w:r w:rsidR="00CF4F69" w:rsidRPr="00286B83">
        <w:rPr>
          <w:rFonts w:hint="eastAsia"/>
          <w:sz w:val="24"/>
        </w:rPr>
        <w:t>通过</w:t>
      </w:r>
      <w:r w:rsidR="00357D6E">
        <w:rPr>
          <w:rFonts w:hint="eastAsia"/>
          <w:sz w:val="24"/>
        </w:rPr>
        <w:t>天天基金</w:t>
      </w:r>
      <w:r w:rsidR="009B2AEC" w:rsidRPr="00286B83">
        <w:rPr>
          <w:rFonts w:hint="eastAsia"/>
          <w:sz w:val="24"/>
        </w:rPr>
        <w:t>网上交易系统网上申购</w:t>
      </w:r>
      <w:r w:rsidR="007B2277" w:rsidRPr="00286B83">
        <w:rPr>
          <w:rFonts w:hint="eastAsia"/>
          <w:sz w:val="24"/>
        </w:rPr>
        <w:t>（含</w:t>
      </w:r>
      <w:r w:rsidR="009B2AEC" w:rsidRPr="00C53C5C">
        <w:rPr>
          <w:rFonts w:hint="eastAsia"/>
          <w:sz w:val="24"/>
        </w:rPr>
        <w:t>定期定额申购</w:t>
      </w:r>
      <w:r w:rsidR="004B7EA0">
        <w:rPr>
          <w:rFonts w:hint="eastAsia"/>
          <w:sz w:val="24"/>
        </w:rPr>
        <w:t>）</w:t>
      </w:r>
      <w:r w:rsidR="004B7EA0">
        <w:rPr>
          <w:rFonts w:ascii="宋体" w:hAnsi="宋体" w:cs="Tahoma" w:hint="eastAsia"/>
          <w:bCs/>
          <w:kern w:val="0"/>
          <w:sz w:val="24"/>
          <w:szCs w:val="24"/>
        </w:rPr>
        <w:t>上述基金（</w:t>
      </w:r>
      <w:r w:rsidR="004B7EA0">
        <w:rPr>
          <w:rFonts w:ascii="宋体" w:hAnsi="宋体" w:cs="Tahoma"/>
          <w:bCs/>
          <w:kern w:val="0"/>
          <w:sz w:val="24"/>
          <w:szCs w:val="24"/>
        </w:rPr>
        <w:t>仅限前端</w:t>
      </w:r>
      <w:r w:rsidR="004B7EA0">
        <w:rPr>
          <w:rFonts w:ascii="宋体" w:hAnsi="宋体" w:cs="Tahoma" w:hint="eastAsia"/>
          <w:bCs/>
          <w:kern w:val="0"/>
          <w:sz w:val="24"/>
          <w:szCs w:val="24"/>
        </w:rPr>
        <w:t>收费</w:t>
      </w:r>
      <w:r w:rsidR="004B7EA0">
        <w:rPr>
          <w:rFonts w:ascii="宋体" w:hAnsi="宋体" w:cs="Tahoma"/>
          <w:bCs/>
          <w:kern w:val="0"/>
          <w:sz w:val="24"/>
          <w:szCs w:val="24"/>
        </w:rPr>
        <w:t>模式）</w:t>
      </w:r>
      <w:r w:rsidR="004B7EA0">
        <w:rPr>
          <w:rFonts w:hint="eastAsia"/>
          <w:sz w:val="24"/>
        </w:rPr>
        <w:t>，</w:t>
      </w:r>
      <w:r w:rsidR="00C60C94" w:rsidRPr="00C60C94">
        <w:rPr>
          <w:rFonts w:hint="eastAsia"/>
          <w:sz w:val="24"/>
        </w:rPr>
        <w:t>原申购费率高于</w:t>
      </w:r>
      <w:r w:rsidR="00C60C94" w:rsidRPr="00C60C94">
        <w:rPr>
          <w:sz w:val="24"/>
        </w:rPr>
        <w:t>0.6%</w:t>
      </w:r>
      <w:r w:rsidR="00C60C94" w:rsidRPr="00C60C94">
        <w:rPr>
          <w:rFonts w:hint="eastAsia"/>
          <w:sz w:val="24"/>
        </w:rPr>
        <w:t>的，申购费率按</w:t>
      </w:r>
      <w:r w:rsidR="00C60C94" w:rsidRPr="00C60C94">
        <w:rPr>
          <w:sz w:val="24"/>
        </w:rPr>
        <w:t>4</w:t>
      </w:r>
      <w:r w:rsidR="00C60C94" w:rsidRPr="00C60C94">
        <w:rPr>
          <w:rFonts w:hint="eastAsia"/>
          <w:sz w:val="24"/>
        </w:rPr>
        <w:t>折优惠，但优惠后申购费率不低于</w:t>
      </w:r>
      <w:r w:rsidR="00C60C94" w:rsidRPr="00C60C94">
        <w:rPr>
          <w:sz w:val="24"/>
        </w:rPr>
        <w:t>0.6%</w:t>
      </w:r>
      <w:r w:rsidR="00C60C94" w:rsidRPr="00C60C94">
        <w:rPr>
          <w:rFonts w:hint="eastAsia"/>
          <w:sz w:val="24"/>
        </w:rPr>
        <w:t>；原申购费率等于或低于</w:t>
      </w:r>
      <w:r w:rsidR="00C60C94" w:rsidRPr="00C60C94">
        <w:rPr>
          <w:sz w:val="24"/>
        </w:rPr>
        <w:t>0.6%</w:t>
      </w:r>
      <w:r w:rsidR="00C60C94" w:rsidRPr="00C60C94">
        <w:rPr>
          <w:rFonts w:hint="eastAsia"/>
          <w:sz w:val="24"/>
        </w:rPr>
        <w:t>或为固定费用的，按原费率或固定费用执行。投资者通过天天基金</w:t>
      </w:r>
      <w:r w:rsidR="00C60C94" w:rsidRPr="00C60C94">
        <w:rPr>
          <w:rFonts w:ascii="宋体" w:hAnsi="宋体" w:cs="宋体" w:hint="eastAsia"/>
          <w:kern w:val="0"/>
          <w:sz w:val="24"/>
        </w:rPr>
        <w:t>定期定额申购以上</w:t>
      </w:r>
      <w:r w:rsidR="00C60C94" w:rsidRPr="00C60C94">
        <w:rPr>
          <w:rFonts w:ascii="宋体" w:hAnsi="宋体" w:cs="宋体"/>
          <w:kern w:val="0"/>
          <w:sz w:val="24"/>
        </w:rPr>
        <w:t>基金，</w:t>
      </w:r>
      <w:r w:rsidR="00C60C94" w:rsidRPr="00C60C94">
        <w:rPr>
          <w:rFonts w:ascii="宋体" w:hAnsi="宋体" w:cs="宋体" w:hint="eastAsia"/>
          <w:kern w:val="0"/>
          <w:sz w:val="24"/>
        </w:rPr>
        <w:t>定投起点为</w:t>
      </w:r>
      <w:r w:rsidR="00C60C94" w:rsidRPr="00C60C94">
        <w:rPr>
          <w:sz w:val="24"/>
        </w:rPr>
        <w:t>100</w:t>
      </w:r>
      <w:r w:rsidR="00C60C94" w:rsidRPr="00C60C94">
        <w:rPr>
          <w:rFonts w:ascii="宋体" w:hAnsi="宋体" w:cs="宋体" w:hint="eastAsia"/>
          <w:kern w:val="0"/>
          <w:sz w:val="24"/>
        </w:rPr>
        <w:t>元。</w:t>
      </w:r>
    </w:p>
    <w:p w:rsidR="003E311A" w:rsidRPr="00286B83" w:rsidRDefault="00051D8A" w:rsidP="009B2AEC">
      <w:pPr>
        <w:widowControl/>
        <w:spacing w:before="100" w:beforeAutospacing="1" w:after="100" w:afterAutospacing="1" w:line="360" w:lineRule="auto"/>
        <w:ind w:firstLineChars="200" w:firstLine="480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四</w:t>
      </w:r>
      <w:r w:rsidR="003E311A" w:rsidRPr="00286B83">
        <w:rPr>
          <w:rFonts w:ascii="宋体" w:hAnsi="宋体" w:cs="Tahoma" w:hint="eastAsia"/>
          <w:bCs/>
          <w:kern w:val="0"/>
          <w:sz w:val="24"/>
          <w:szCs w:val="24"/>
        </w:rPr>
        <w:t>、投资者可通过</w:t>
      </w:r>
      <w:r w:rsidR="00357D6E">
        <w:rPr>
          <w:rFonts w:ascii="宋体" w:hAnsi="宋体" w:cs="Tahoma" w:hint="eastAsia"/>
          <w:bCs/>
          <w:kern w:val="0"/>
          <w:sz w:val="24"/>
          <w:szCs w:val="24"/>
        </w:rPr>
        <w:t>天天基金</w:t>
      </w:r>
      <w:r w:rsidR="003E311A" w:rsidRPr="00286B83">
        <w:rPr>
          <w:rFonts w:ascii="宋体" w:hAnsi="宋体" w:cs="Tahoma" w:hint="eastAsia"/>
          <w:bCs/>
          <w:kern w:val="0"/>
          <w:sz w:val="24"/>
          <w:szCs w:val="24"/>
        </w:rPr>
        <w:t>和</w:t>
      </w:r>
      <w:r w:rsidR="00F56FA9" w:rsidRPr="00286B83">
        <w:rPr>
          <w:rFonts w:ascii="宋体" w:hAnsi="宋体" w:cs="Tahoma" w:hint="eastAsia"/>
          <w:bCs/>
          <w:kern w:val="0"/>
          <w:sz w:val="24"/>
          <w:szCs w:val="24"/>
        </w:rPr>
        <w:t>本</w:t>
      </w:r>
      <w:r w:rsidR="003E311A" w:rsidRPr="00286B83">
        <w:rPr>
          <w:rFonts w:ascii="宋体" w:hAnsi="宋体" w:cs="Tahoma" w:hint="eastAsia"/>
          <w:bCs/>
          <w:kern w:val="0"/>
          <w:sz w:val="24"/>
          <w:szCs w:val="24"/>
        </w:rPr>
        <w:t>公司的客服热线或网站咨询有关详情</w:t>
      </w:r>
      <w:r w:rsidR="00F56FA9" w:rsidRPr="00286B83">
        <w:rPr>
          <w:rFonts w:ascii="宋体" w:hAnsi="宋体" w:cs="Tahoma" w:hint="eastAsia"/>
          <w:bCs/>
          <w:kern w:val="0"/>
          <w:sz w:val="24"/>
          <w:szCs w:val="24"/>
        </w:rPr>
        <w:t>:</w:t>
      </w:r>
    </w:p>
    <w:p w:rsidR="008F3532" w:rsidRPr="00286B83" w:rsidRDefault="00286B83" w:rsidP="00A85922">
      <w:pPr>
        <w:widowControl/>
        <w:spacing w:line="400" w:lineRule="exact"/>
        <w:ind w:leftChars="228" w:left="479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FD3B73">
        <w:rPr>
          <w:rFonts w:hint="eastAsia"/>
          <w:sz w:val="24"/>
        </w:rPr>
        <w:t>1</w:t>
      </w:r>
      <w:r w:rsidRPr="00FD3B73">
        <w:rPr>
          <w:rFonts w:hint="eastAsia"/>
          <w:sz w:val="24"/>
        </w:rPr>
        <w:t>、</w:t>
      </w:r>
      <w:r w:rsidR="00357D6E">
        <w:rPr>
          <w:rFonts w:ascii="宋体" w:hAnsi="宋体" w:cs="Tahoma" w:hint="eastAsia"/>
          <w:bCs/>
          <w:kern w:val="0"/>
          <w:sz w:val="24"/>
          <w:szCs w:val="24"/>
        </w:rPr>
        <w:t>上海天天基金销售</w:t>
      </w:r>
      <w:r w:rsidR="008F3532" w:rsidRPr="00286B83">
        <w:rPr>
          <w:rFonts w:ascii="宋体" w:hAnsi="宋体" w:cs="Tahoma" w:hint="eastAsia"/>
          <w:bCs/>
          <w:kern w:val="0"/>
          <w:sz w:val="24"/>
          <w:szCs w:val="24"/>
        </w:rPr>
        <w:t>有限公司</w:t>
      </w:r>
    </w:p>
    <w:p w:rsidR="00691E4C" w:rsidRDefault="00286B83" w:rsidP="00691E4C">
      <w:pPr>
        <w:widowControl/>
        <w:spacing w:line="400" w:lineRule="exact"/>
        <w:ind w:leftChars="228" w:left="479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客服电话:</w:t>
      </w:r>
      <w:r w:rsidR="007840EA">
        <w:rPr>
          <w:sz w:val="24"/>
        </w:rPr>
        <w:t>400-1818-188</w:t>
      </w:r>
    </w:p>
    <w:p w:rsidR="00365D0C" w:rsidRPr="00286B83" w:rsidRDefault="00286B83" w:rsidP="00691E4C">
      <w:pPr>
        <w:widowControl/>
        <w:spacing w:line="400" w:lineRule="exact"/>
        <w:ind w:leftChars="228" w:left="479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网址</w:t>
      </w:r>
      <w:r w:rsidRPr="00691E4C">
        <w:rPr>
          <w:rFonts w:hint="eastAsia"/>
          <w:sz w:val="24"/>
        </w:rPr>
        <w:t>:</w:t>
      </w:r>
      <w:r w:rsidR="007840EA">
        <w:rPr>
          <w:sz w:val="24"/>
        </w:rPr>
        <w:t>www.1234567.com.cn</w:t>
      </w:r>
    </w:p>
    <w:p w:rsidR="00DA3449" w:rsidRPr="00286B83" w:rsidRDefault="00DA3449" w:rsidP="00DA3449">
      <w:pPr>
        <w:widowControl/>
        <w:spacing w:line="400" w:lineRule="exact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</w:p>
    <w:p w:rsidR="003E311A" w:rsidRPr="00286B83" w:rsidRDefault="007E0BC7" w:rsidP="00A85922">
      <w:pPr>
        <w:widowControl/>
        <w:spacing w:line="400" w:lineRule="exact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FD3B73">
        <w:rPr>
          <w:rFonts w:hint="eastAsia"/>
          <w:sz w:val="24"/>
        </w:rPr>
        <w:t>2</w:t>
      </w:r>
      <w:r w:rsidRPr="00FD3B73">
        <w:rPr>
          <w:rFonts w:hint="eastAsia"/>
          <w:sz w:val="24"/>
        </w:rPr>
        <w:t>、</w:t>
      </w:r>
      <w:r w:rsidR="003E311A" w:rsidRPr="00286B83">
        <w:rPr>
          <w:rFonts w:ascii="宋体" w:hAnsi="宋体" w:cs="Tahoma" w:hint="eastAsia"/>
          <w:bCs/>
          <w:kern w:val="0"/>
          <w:sz w:val="24"/>
          <w:szCs w:val="24"/>
        </w:rPr>
        <w:t>财通基金管理有限公司</w:t>
      </w:r>
    </w:p>
    <w:p w:rsidR="003E311A" w:rsidRPr="00286B83" w:rsidRDefault="003E311A" w:rsidP="00A85922">
      <w:pPr>
        <w:widowControl/>
        <w:spacing w:line="400" w:lineRule="exact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客服电话:</w:t>
      </w:r>
      <w:r w:rsidRPr="00691E4C">
        <w:rPr>
          <w:rFonts w:hint="eastAsia"/>
          <w:sz w:val="24"/>
        </w:rPr>
        <w:t>400-820-9888</w:t>
      </w:r>
    </w:p>
    <w:p w:rsidR="00DA3449" w:rsidRDefault="003E311A" w:rsidP="00A85922">
      <w:pPr>
        <w:widowControl/>
        <w:spacing w:line="400" w:lineRule="exact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网址:</w:t>
      </w:r>
      <w:r w:rsidRPr="00691E4C">
        <w:rPr>
          <w:rFonts w:hint="eastAsia"/>
          <w:sz w:val="24"/>
        </w:rPr>
        <w:t>www.ctfund.com</w:t>
      </w:r>
    </w:p>
    <w:p w:rsidR="00511471" w:rsidRPr="00286B83" w:rsidRDefault="003E311A" w:rsidP="00A85922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风险提示:</w:t>
      </w:r>
    </w:p>
    <w:p w:rsidR="003E311A" w:rsidRPr="00286B83" w:rsidRDefault="003E311A" w:rsidP="00A85922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lastRenderedPageBreak/>
        <w:t>本公司承诺以诚实信用、勤勉尽责的原则管理和运用基金资产,但不保证基金一定盈利,也不保证最低收益。基金的过往业绩及其净值高低并不预示其未来业绩表现。本公司提醒投资者,</w:t>
      </w:r>
      <w:r w:rsidR="00511471" w:rsidRPr="00286B83">
        <w:rPr>
          <w:rFonts w:ascii="宋体" w:hAnsi="宋体" w:cs="Tahoma" w:hint="eastAsia"/>
          <w:bCs/>
          <w:kern w:val="0"/>
          <w:sz w:val="24"/>
          <w:szCs w:val="24"/>
        </w:rPr>
        <w:t>投资者投资于基金前应认真阅读本基金的基金合同、招募说明书等文件。敬请投资者注意投资风险</w:t>
      </w:r>
      <w:r w:rsidRPr="00286B83">
        <w:rPr>
          <w:rFonts w:ascii="宋体" w:hAnsi="宋体" w:cs="Tahoma" w:hint="eastAsia"/>
          <w:bCs/>
          <w:kern w:val="0"/>
          <w:sz w:val="24"/>
          <w:szCs w:val="24"/>
        </w:rPr>
        <w:t>。</w:t>
      </w:r>
    </w:p>
    <w:p w:rsidR="003E311A" w:rsidRPr="00286B83" w:rsidRDefault="003E311A" w:rsidP="00A85922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特此公告。</w:t>
      </w:r>
    </w:p>
    <w:p w:rsidR="003E311A" w:rsidRPr="00286B83" w:rsidRDefault="003E311A" w:rsidP="00F0770C">
      <w:pPr>
        <w:widowControl/>
        <w:spacing w:before="100" w:beforeAutospacing="1" w:line="360" w:lineRule="auto"/>
        <w:jc w:val="righ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财通基金管理有限公司</w:t>
      </w:r>
    </w:p>
    <w:p w:rsidR="003E311A" w:rsidRPr="003E311A" w:rsidRDefault="003E311A" w:rsidP="00F0770C">
      <w:pPr>
        <w:widowControl/>
        <w:spacing w:after="100" w:afterAutospacing="1" w:line="360" w:lineRule="auto"/>
        <w:jc w:val="right"/>
        <w:outlineLvl w:val="5"/>
        <w:rPr>
          <w:rFonts w:ascii="宋体" w:hAnsi="宋体" w:cs="Tahoma"/>
          <w:bCs/>
          <w:kern w:val="0"/>
          <w:sz w:val="24"/>
          <w:szCs w:val="24"/>
        </w:rPr>
      </w:pPr>
      <w:r w:rsidRPr="00286B83">
        <w:rPr>
          <w:rFonts w:ascii="宋体" w:hAnsi="宋体" w:cs="Tahoma" w:hint="eastAsia"/>
          <w:bCs/>
          <w:kern w:val="0"/>
          <w:sz w:val="24"/>
          <w:szCs w:val="24"/>
        </w:rPr>
        <w:t>二○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一</w:t>
      </w:r>
      <w:r w:rsidR="00851C27">
        <w:rPr>
          <w:rFonts w:ascii="宋体" w:hAnsi="宋体" w:cs="Tahoma" w:hint="eastAsia"/>
          <w:bCs/>
          <w:kern w:val="0"/>
          <w:sz w:val="24"/>
          <w:szCs w:val="24"/>
        </w:rPr>
        <w:t>四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年</w:t>
      </w:r>
      <w:r w:rsidR="00851C27">
        <w:rPr>
          <w:rFonts w:ascii="宋体" w:hAnsi="宋体" w:cs="Tahoma" w:hint="eastAsia"/>
          <w:bCs/>
          <w:kern w:val="0"/>
          <w:sz w:val="24"/>
          <w:szCs w:val="24"/>
        </w:rPr>
        <w:t>九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月</w:t>
      </w:r>
      <w:r w:rsidR="00851C27">
        <w:rPr>
          <w:rFonts w:ascii="宋体" w:hAnsi="宋体" w:cs="Tahoma" w:hint="eastAsia"/>
          <w:bCs/>
          <w:kern w:val="0"/>
          <w:sz w:val="24"/>
          <w:szCs w:val="24"/>
        </w:rPr>
        <w:t>二十</w:t>
      </w:r>
      <w:r w:rsidR="00851C27">
        <w:rPr>
          <w:rFonts w:ascii="宋体" w:hAnsi="宋体" w:cs="Tahoma" w:hint="eastAsia"/>
          <w:bCs/>
          <w:kern w:val="0"/>
          <w:sz w:val="24"/>
          <w:szCs w:val="24"/>
        </w:rPr>
        <w:t>六</w:t>
      </w:r>
      <w:r w:rsidR="00851C27" w:rsidRPr="00286B83">
        <w:rPr>
          <w:rFonts w:ascii="宋体" w:hAnsi="宋体" w:cs="Tahoma" w:hint="eastAsia"/>
          <w:bCs/>
          <w:kern w:val="0"/>
          <w:sz w:val="24"/>
          <w:szCs w:val="24"/>
        </w:rPr>
        <w:t>日</w:t>
      </w:r>
    </w:p>
    <w:sectPr w:rsidR="003E311A" w:rsidRPr="003E311A" w:rsidSect="00C40A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2B" w:rsidRDefault="0079652B" w:rsidP="004261FE">
      <w:r>
        <w:separator/>
      </w:r>
    </w:p>
  </w:endnote>
  <w:endnote w:type="continuationSeparator" w:id="1">
    <w:p w:rsidR="0079652B" w:rsidRDefault="0079652B" w:rsidP="0042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DD" w:rsidRDefault="00492C1B">
    <w:pPr>
      <w:pStyle w:val="a5"/>
      <w:jc w:val="center"/>
    </w:pPr>
    <w:fldSimple w:instr=" PAGE   \* MERGEFORMAT ">
      <w:r w:rsidR="00AE4422" w:rsidRPr="00AE4422">
        <w:rPr>
          <w:noProof/>
          <w:lang w:val="zh-CN"/>
        </w:rPr>
        <w:t>2</w:t>
      </w:r>
    </w:fldSimple>
  </w:p>
  <w:p w:rsidR="00CB26DD" w:rsidRDefault="00CB26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2B" w:rsidRDefault="0079652B" w:rsidP="004261FE">
      <w:r>
        <w:separator/>
      </w:r>
    </w:p>
  </w:footnote>
  <w:footnote w:type="continuationSeparator" w:id="1">
    <w:p w:rsidR="0079652B" w:rsidRDefault="0079652B" w:rsidP="00426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6DD" w:rsidRDefault="00CE4434" w:rsidP="00720983">
    <w:pPr>
      <w:pStyle w:val="a4"/>
      <w:pBdr>
        <w:bottom w:val="single" w:sz="6" w:space="2" w:color="auto"/>
      </w:pBdr>
      <w:tabs>
        <w:tab w:val="clear" w:pos="4153"/>
      </w:tabs>
      <w:jc w:val="left"/>
    </w:pPr>
    <w:r>
      <w:rPr>
        <w:noProof/>
      </w:rPr>
      <w:drawing>
        <wp:inline distT="0" distB="0" distL="0" distR="0">
          <wp:extent cx="1133475" cy="304800"/>
          <wp:effectExtent l="1905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26DD">
      <w:rPr>
        <w:noProof/>
      </w:rPr>
      <w:tab/>
    </w:r>
    <w:r w:rsidR="00CB26DD" w:rsidRPr="00720983">
      <w:rPr>
        <w:rFonts w:ascii="隶书" w:eastAsia="隶书" w:hint="eastAsia"/>
        <w:noProof/>
      </w:rPr>
      <w:t>临时</w:t>
    </w:r>
    <w:r w:rsidR="00CB26DD">
      <w:rPr>
        <w:rFonts w:ascii="隶书" w:eastAsia="隶书" w:hint="eastAsia"/>
        <w:noProof/>
      </w:rPr>
      <w:t>公</w:t>
    </w:r>
    <w:r w:rsidR="00CB26DD" w:rsidRPr="00720983">
      <w:rPr>
        <w:rFonts w:ascii="隶书" w:eastAsia="隶书" w:hint="eastAsia"/>
        <w:noProof/>
      </w:rPr>
      <w:t>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56A"/>
    <w:multiLevelType w:val="hybridMultilevel"/>
    <w:tmpl w:val="660A15C6"/>
    <w:lvl w:ilvl="0" w:tplc="9D3A2C9A">
      <w:start w:val="1"/>
      <w:numFmt w:val="decimal"/>
      <w:lvlText w:val="%1．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102CC"/>
    <w:multiLevelType w:val="hybridMultilevel"/>
    <w:tmpl w:val="8504942C"/>
    <w:lvl w:ilvl="0" w:tplc="BD4227F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661440"/>
    <w:multiLevelType w:val="hybridMultilevel"/>
    <w:tmpl w:val="DD4E8122"/>
    <w:lvl w:ilvl="0" w:tplc="1ADE3208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A487B31"/>
    <w:multiLevelType w:val="hybridMultilevel"/>
    <w:tmpl w:val="D2D6FEAE"/>
    <w:lvl w:ilvl="0" w:tplc="7394841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CD0141"/>
    <w:multiLevelType w:val="hybridMultilevel"/>
    <w:tmpl w:val="644C18BE"/>
    <w:lvl w:ilvl="0" w:tplc="685CFE46">
      <w:start w:val="1"/>
      <w:numFmt w:val="decimal"/>
      <w:lvlText w:val="%1．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78E"/>
    <w:rsid w:val="000041F7"/>
    <w:rsid w:val="0000608E"/>
    <w:rsid w:val="00015CFB"/>
    <w:rsid w:val="00026464"/>
    <w:rsid w:val="000275C1"/>
    <w:rsid w:val="000353E2"/>
    <w:rsid w:val="00051D8A"/>
    <w:rsid w:val="00067FC5"/>
    <w:rsid w:val="00071743"/>
    <w:rsid w:val="00071BAA"/>
    <w:rsid w:val="0007324A"/>
    <w:rsid w:val="0008405A"/>
    <w:rsid w:val="00085FF6"/>
    <w:rsid w:val="000A1CE6"/>
    <w:rsid w:val="000B4F8E"/>
    <w:rsid w:val="000B5645"/>
    <w:rsid w:val="000C2E71"/>
    <w:rsid w:val="000C5147"/>
    <w:rsid w:val="000C63A2"/>
    <w:rsid w:val="000C72E1"/>
    <w:rsid w:val="000D1E32"/>
    <w:rsid w:val="000D2004"/>
    <w:rsid w:val="000D36A4"/>
    <w:rsid w:val="001070A9"/>
    <w:rsid w:val="00107961"/>
    <w:rsid w:val="001409EC"/>
    <w:rsid w:val="00160598"/>
    <w:rsid w:val="00165858"/>
    <w:rsid w:val="00172D0A"/>
    <w:rsid w:val="00180D34"/>
    <w:rsid w:val="00184625"/>
    <w:rsid w:val="0018551B"/>
    <w:rsid w:val="00190733"/>
    <w:rsid w:val="0019210D"/>
    <w:rsid w:val="001B0207"/>
    <w:rsid w:val="001D0C9D"/>
    <w:rsid w:val="001D585D"/>
    <w:rsid w:val="001D647D"/>
    <w:rsid w:val="001E4BE3"/>
    <w:rsid w:val="001F327D"/>
    <w:rsid w:val="00220D02"/>
    <w:rsid w:val="002240E6"/>
    <w:rsid w:val="00226C07"/>
    <w:rsid w:val="0023375D"/>
    <w:rsid w:val="00240BC2"/>
    <w:rsid w:val="002415FC"/>
    <w:rsid w:val="00253837"/>
    <w:rsid w:val="00273566"/>
    <w:rsid w:val="00285EB7"/>
    <w:rsid w:val="00286B83"/>
    <w:rsid w:val="00293B50"/>
    <w:rsid w:val="00294B5B"/>
    <w:rsid w:val="002966C0"/>
    <w:rsid w:val="002A3856"/>
    <w:rsid w:val="002B1D9D"/>
    <w:rsid w:val="002B6410"/>
    <w:rsid w:val="002C326D"/>
    <w:rsid w:val="002C357E"/>
    <w:rsid w:val="002C5B93"/>
    <w:rsid w:val="002C79AB"/>
    <w:rsid w:val="002D5D20"/>
    <w:rsid w:val="002D6135"/>
    <w:rsid w:val="002F3F72"/>
    <w:rsid w:val="00307AEB"/>
    <w:rsid w:val="00340138"/>
    <w:rsid w:val="00350014"/>
    <w:rsid w:val="00357D6E"/>
    <w:rsid w:val="0036378E"/>
    <w:rsid w:val="00365D0C"/>
    <w:rsid w:val="00367EFF"/>
    <w:rsid w:val="00370A97"/>
    <w:rsid w:val="00375221"/>
    <w:rsid w:val="00375C15"/>
    <w:rsid w:val="0038476E"/>
    <w:rsid w:val="003A296A"/>
    <w:rsid w:val="003A6E12"/>
    <w:rsid w:val="003B0CA0"/>
    <w:rsid w:val="003B5AFD"/>
    <w:rsid w:val="003D639A"/>
    <w:rsid w:val="003D7874"/>
    <w:rsid w:val="003E0E54"/>
    <w:rsid w:val="003E311A"/>
    <w:rsid w:val="003E5AC4"/>
    <w:rsid w:val="00406BD0"/>
    <w:rsid w:val="00412A45"/>
    <w:rsid w:val="00415C86"/>
    <w:rsid w:val="004235B8"/>
    <w:rsid w:val="004261FE"/>
    <w:rsid w:val="00432684"/>
    <w:rsid w:val="00442916"/>
    <w:rsid w:val="0045093E"/>
    <w:rsid w:val="00452453"/>
    <w:rsid w:val="004646F6"/>
    <w:rsid w:val="004721E5"/>
    <w:rsid w:val="004731E9"/>
    <w:rsid w:val="00474A07"/>
    <w:rsid w:val="004755FA"/>
    <w:rsid w:val="00476B3C"/>
    <w:rsid w:val="00492C1B"/>
    <w:rsid w:val="004959A0"/>
    <w:rsid w:val="004964E7"/>
    <w:rsid w:val="004A20DC"/>
    <w:rsid w:val="004A31EE"/>
    <w:rsid w:val="004A542E"/>
    <w:rsid w:val="004A6F4E"/>
    <w:rsid w:val="004B2CAA"/>
    <w:rsid w:val="004B7EA0"/>
    <w:rsid w:val="004C1356"/>
    <w:rsid w:val="004C7510"/>
    <w:rsid w:val="004D25DD"/>
    <w:rsid w:val="004D6C19"/>
    <w:rsid w:val="004F3D0E"/>
    <w:rsid w:val="005030C3"/>
    <w:rsid w:val="005100FB"/>
    <w:rsid w:val="00511471"/>
    <w:rsid w:val="00516AF8"/>
    <w:rsid w:val="005277A4"/>
    <w:rsid w:val="00531E95"/>
    <w:rsid w:val="00536EA0"/>
    <w:rsid w:val="00541EDC"/>
    <w:rsid w:val="00552427"/>
    <w:rsid w:val="00561E27"/>
    <w:rsid w:val="0056371E"/>
    <w:rsid w:val="00587234"/>
    <w:rsid w:val="00591634"/>
    <w:rsid w:val="00596E3B"/>
    <w:rsid w:val="005A043D"/>
    <w:rsid w:val="005A0793"/>
    <w:rsid w:val="005A1541"/>
    <w:rsid w:val="005A4745"/>
    <w:rsid w:val="005B0426"/>
    <w:rsid w:val="005B45CB"/>
    <w:rsid w:val="005C5045"/>
    <w:rsid w:val="005D1E98"/>
    <w:rsid w:val="005D38FA"/>
    <w:rsid w:val="005E2016"/>
    <w:rsid w:val="005E262B"/>
    <w:rsid w:val="005F6596"/>
    <w:rsid w:val="00600703"/>
    <w:rsid w:val="006031B7"/>
    <w:rsid w:val="00611970"/>
    <w:rsid w:val="0061374D"/>
    <w:rsid w:val="00620B36"/>
    <w:rsid w:val="006310F6"/>
    <w:rsid w:val="00631C4C"/>
    <w:rsid w:val="00637920"/>
    <w:rsid w:val="00645D3A"/>
    <w:rsid w:val="00652852"/>
    <w:rsid w:val="00652B29"/>
    <w:rsid w:val="00653FA2"/>
    <w:rsid w:val="006540CF"/>
    <w:rsid w:val="00655411"/>
    <w:rsid w:val="00662778"/>
    <w:rsid w:val="00670A0B"/>
    <w:rsid w:val="00685A55"/>
    <w:rsid w:val="00691E4C"/>
    <w:rsid w:val="006A175A"/>
    <w:rsid w:val="006A4199"/>
    <w:rsid w:val="006B0088"/>
    <w:rsid w:val="006C3736"/>
    <w:rsid w:val="006C5E98"/>
    <w:rsid w:val="006D2F5F"/>
    <w:rsid w:val="006D7E47"/>
    <w:rsid w:val="006E31F1"/>
    <w:rsid w:val="006E509A"/>
    <w:rsid w:val="006E5E0A"/>
    <w:rsid w:val="006F3B3C"/>
    <w:rsid w:val="006F7BDD"/>
    <w:rsid w:val="00701955"/>
    <w:rsid w:val="00704FBE"/>
    <w:rsid w:val="0071602B"/>
    <w:rsid w:val="00720983"/>
    <w:rsid w:val="00724774"/>
    <w:rsid w:val="00731641"/>
    <w:rsid w:val="0073668F"/>
    <w:rsid w:val="007371D4"/>
    <w:rsid w:val="00767E01"/>
    <w:rsid w:val="00780154"/>
    <w:rsid w:val="00783865"/>
    <w:rsid w:val="007840EA"/>
    <w:rsid w:val="00786525"/>
    <w:rsid w:val="00791501"/>
    <w:rsid w:val="0079652B"/>
    <w:rsid w:val="007A1A1A"/>
    <w:rsid w:val="007A24B4"/>
    <w:rsid w:val="007A2FB6"/>
    <w:rsid w:val="007B2277"/>
    <w:rsid w:val="007D71E8"/>
    <w:rsid w:val="007E0BC7"/>
    <w:rsid w:val="007E1C9E"/>
    <w:rsid w:val="007F30D9"/>
    <w:rsid w:val="00800EB7"/>
    <w:rsid w:val="008053C5"/>
    <w:rsid w:val="00805E81"/>
    <w:rsid w:val="008077EE"/>
    <w:rsid w:val="00815FFA"/>
    <w:rsid w:val="00834AA3"/>
    <w:rsid w:val="00844BB2"/>
    <w:rsid w:val="00851C27"/>
    <w:rsid w:val="0085527F"/>
    <w:rsid w:val="0086515F"/>
    <w:rsid w:val="00865FB7"/>
    <w:rsid w:val="00866CC4"/>
    <w:rsid w:val="008671C2"/>
    <w:rsid w:val="0086771E"/>
    <w:rsid w:val="0087251A"/>
    <w:rsid w:val="008836C5"/>
    <w:rsid w:val="00887887"/>
    <w:rsid w:val="00897623"/>
    <w:rsid w:val="008B7579"/>
    <w:rsid w:val="008C0E21"/>
    <w:rsid w:val="008C1BA2"/>
    <w:rsid w:val="008C24FC"/>
    <w:rsid w:val="008C32D1"/>
    <w:rsid w:val="008D0DF7"/>
    <w:rsid w:val="008D1398"/>
    <w:rsid w:val="008D51AA"/>
    <w:rsid w:val="008D7AA5"/>
    <w:rsid w:val="008E1D03"/>
    <w:rsid w:val="008E3FC4"/>
    <w:rsid w:val="008E658C"/>
    <w:rsid w:val="008F3532"/>
    <w:rsid w:val="009068B7"/>
    <w:rsid w:val="00922B59"/>
    <w:rsid w:val="00922BB0"/>
    <w:rsid w:val="00930563"/>
    <w:rsid w:val="00943155"/>
    <w:rsid w:val="0094482B"/>
    <w:rsid w:val="00954785"/>
    <w:rsid w:val="00954BFE"/>
    <w:rsid w:val="00957E8F"/>
    <w:rsid w:val="0096694E"/>
    <w:rsid w:val="0097011A"/>
    <w:rsid w:val="00972F6E"/>
    <w:rsid w:val="0097559D"/>
    <w:rsid w:val="009770EA"/>
    <w:rsid w:val="0098564E"/>
    <w:rsid w:val="009A0D00"/>
    <w:rsid w:val="009A6558"/>
    <w:rsid w:val="009B2AEC"/>
    <w:rsid w:val="009B6A1E"/>
    <w:rsid w:val="009C7EE7"/>
    <w:rsid w:val="009D13F0"/>
    <w:rsid w:val="009E1BA4"/>
    <w:rsid w:val="009F1C72"/>
    <w:rsid w:val="009F7D36"/>
    <w:rsid w:val="00A274D0"/>
    <w:rsid w:val="00A348CA"/>
    <w:rsid w:val="00A34EC3"/>
    <w:rsid w:val="00A44237"/>
    <w:rsid w:val="00A50DD5"/>
    <w:rsid w:val="00A5100A"/>
    <w:rsid w:val="00A60AFF"/>
    <w:rsid w:val="00A60B63"/>
    <w:rsid w:val="00A62955"/>
    <w:rsid w:val="00A7484A"/>
    <w:rsid w:val="00A81CF7"/>
    <w:rsid w:val="00A854E0"/>
    <w:rsid w:val="00A85922"/>
    <w:rsid w:val="00A86549"/>
    <w:rsid w:val="00A930BF"/>
    <w:rsid w:val="00AB03BE"/>
    <w:rsid w:val="00AB0F63"/>
    <w:rsid w:val="00AB22C4"/>
    <w:rsid w:val="00AB38C1"/>
    <w:rsid w:val="00AB3BE5"/>
    <w:rsid w:val="00AB69C2"/>
    <w:rsid w:val="00AC04A8"/>
    <w:rsid w:val="00AC0EFB"/>
    <w:rsid w:val="00AC2D15"/>
    <w:rsid w:val="00AC64CB"/>
    <w:rsid w:val="00AD2266"/>
    <w:rsid w:val="00AE4422"/>
    <w:rsid w:val="00AF0962"/>
    <w:rsid w:val="00AF5429"/>
    <w:rsid w:val="00AF68D4"/>
    <w:rsid w:val="00B04C74"/>
    <w:rsid w:val="00B142BD"/>
    <w:rsid w:val="00B44F7F"/>
    <w:rsid w:val="00B47AD3"/>
    <w:rsid w:val="00B772B8"/>
    <w:rsid w:val="00B90E52"/>
    <w:rsid w:val="00B91D26"/>
    <w:rsid w:val="00B93469"/>
    <w:rsid w:val="00B94612"/>
    <w:rsid w:val="00BA7642"/>
    <w:rsid w:val="00BB11C2"/>
    <w:rsid w:val="00BB1B97"/>
    <w:rsid w:val="00BC0A11"/>
    <w:rsid w:val="00BC268F"/>
    <w:rsid w:val="00BC2D20"/>
    <w:rsid w:val="00BC43C8"/>
    <w:rsid w:val="00BD1399"/>
    <w:rsid w:val="00BD623A"/>
    <w:rsid w:val="00BE2504"/>
    <w:rsid w:val="00BE3558"/>
    <w:rsid w:val="00BE50FA"/>
    <w:rsid w:val="00BF0549"/>
    <w:rsid w:val="00C0473B"/>
    <w:rsid w:val="00C05099"/>
    <w:rsid w:val="00C064E1"/>
    <w:rsid w:val="00C134B2"/>
    <w:rsid w:val="00C15AA3"/>
    <w:rsid w:val="00C236FC"/>
    <w:rsid w:val="00C26A6B"/>
    <w:rsid w:val="00C32350"/>
    <w:rsid w:val="00C328DD"/>
    <w:rsid w:val="00C40A70"/>
    <w:rsid w:val="00C434DA"/>
    <w:rsid w:val="00C51305"/>
    <w:rsid w:val="00C53C5C"/>
    <w:rsid w:val="00C60C94"/>
    <w:rsid w:val="00C834AE"/>
    <w:rsid w:val="00CB0D12"/>
    <w:rsid w:val="00CB26DD"/>
    <w:rsid w:val="00CB602C"/>
    <w:rsid w:val="00CB7462"/>
    <w:rsid w:val="00CC7FE0"/>
    <w:rsid w:val="00CE4434"/>
    <w:rsid w:val="00CF4F69"/>
    <w:rsid w:val="00D07DE0"/>
    <w:rsid w:val="00D138BC"/>
    <w:rsid w:val="00D1561C"/>
    <w:rsid w:val="00D36747"/>
    <w:rsid w:val="00D42126"/>
    <w:rsid w:val="00D42EC6"/>
    <w:rsid w:val="00D464E5"/>
    <w:rsid w:val="00D57E23"/>
    <w:rsid w:val="00D6001C"/>
    <w:rsid w:val="00D65417"/>
    <w:rsid w:val="00D832B6"/>
    <w:rsid w:val="00D84875"/>
    <w:rsid w:val="00D8570C"/>
    <w:rsid w:val="00D93C6B"/>
    <w:rsid w:val="00DA1AA3"/>
    <w:rsid w:val="00DA3449"/>
    <w:rsid w:val="00DB123E"/>
    <w:rsid w:val="00DB2D12"/>
    <w:rsid w:val="00DD1CE5"/>
    <w:rsid w:val="00DD44B5"/>
    <w:rsid w:val="00DD6A98"/>
    <w:rsid w:val="00DE2CC5"/>
    <w:rsid w:val="00DE3A60"/>
    <w:rsid w:val="00DF75B1"/>
    <w:rsid w:val="00E03BC8"/>
    <w:rsid w:val="00E07B9A"/>
    <w:rsid w:val="00E12C95"/>
    <w:rsid w:val="00E201A4"/>
    <w:rsid w:val="00E2102F"/>
    <w:rsid w:val="00E309F4"/>
    <w:rsid w:val="00E33376"/>
    <w:rsid w:val="00E338D0"/>
    <w:rsid w:val="00E35F0C"/>
    <w:rsid w:val="00E44C7B"/>
    <w:rsid w:val="00E564F7"/>
    <w:rsid w:val="00E60079"/>
    <w:rsid w:val="00E64F9D"/>
    <w:rsid w:val="00E709DB"/>
    <w:rsid w:val="00E73FB0"/>
    <w:rsid w:val="00E94CEE"/>
    <w:rsid w:val="00E95AEE"/>
    <w:rsid w:val="00E96785"/>
    <w:rsid w:val="00E9759A"/>
    <w:rsid w:val="00EA4971"/>
    <w:rsid w:val="00EB0297"/>
    <w:rsid w:val="00EC236A"/>
    <w:rsid w:val="00EC291A"/>
    <w:rsid w:val="00EC3617"/>
    <w:rsid w:val="00EC72EF"/>
    <w:rsid w:val="00ED2C00"/>
    <w:rsid w:val="00ED3D83"/>
    <w:rsid w:val="00ED5E89"/>
    <w:rsid w:val="00EE2DCD"/>
    <w:rsid w:val="00EE2F5B"/>
    <w:rsid w:val="00EF7412"/>
    <w:rsid w:val="00F03F71"/>
    <w:rsid w:val="00F0770C"/>
    <w:rsid w:val="00F156BF"/>
    <w:rsid w:val="00F2668E"/>
    <w:rsid w:val="00F30266"/>
    <w:rsid w:val="00F413B7"/>
    <w:rsid w:val="00F5325E"/>
    <w:rsid w:val="00F56FA9"/>
    <w:rsid w:val="00F85A70"/>
    <w:rsid w:val="00F91F27"/>
    <w:rsid w:val="00F94999"/>
    <w:rsid w:val="00FA1DF2"/>
    <w:rsid w:val="00FA3A84"/>
    <w:rsid w:val="00FB2ECB"/>
    <w:rsid w:val="00FC2944"/>
    <w:rsid w:val="00FD0A36"/>
    <w:rsid w:val="00FD3B73"/>
    <w:rsid w:val="00FE0515"/>
    <w:rsid w:val="00FE6ECF"/>
    <w:rsid w:val="00FF1234"/>
    <w:rsid w:val="00FF2EE0"/>
    <w:rsid w:val="00FF4837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3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4261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61F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4261FE"/>
    <w:rPr>
      <w:sz w:val="18"/>
      <w:szCs w:val="18"/>
    </w:rPr>
  </w:style>
  <w:style w:type="paragraph" w:customStyle="1" w:styleId="time1">
    <w:name w:val="time1"/>
    <w:basedOn w:val="a"/>
    <w:rsid w:val="000D1E32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338D0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338D0"/>
    <w:rPr>
      <w:sz w:val="18"/>
      <w:szCs w:val="18"/>
    </w:rPr>
  </w:style>
  <w:style w:type="character" w:styleId="a7">
    <w:name w:val="Hyperlink"/>
    <w:uiPriority w:val="99"/>
    <w:unhideWhenUsed/>
    <w:rsid w:val="002415FC"/>
    <w:rPr>
      <w:color w:val="0000FF"/>
      <w:u w:val="single"/>
    </w:rPr>
  </w:style>
  <w:style w:type="paragraph" w:customStyle="1" w:styleId="CharCharCharChar">
    <w:name w:val="Char Char Char Char"/>
    <w:basedOn w:val="a"/>
    <w:autoRedefine/>
    <w:rsid w:val="002D6135"/>
    <w:pPr>
      <w:tabs>
        <w:tab w:val="num" w:pos="360"/>
      </w:tabs>
      <w:spacing w:before="312" w:after="312" w:line="360" w:lineRule="auto"/>
    </w:pPr>
    <w:rPr>
      <w:rFonts w:ascii="Times New Roman" w:hAnsi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0C2E7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2E71"/>
    <w:pPr>
      <w:jc w:val="left"/>
    </w:pPr>
  </w:style>
  <w:style w:type="character" w:customStyle="1" w:styleId="Char2">
    <w:name w:val="批注文字 Char"/>
    <w:link w:val="a9"/>
    <w:uiPriority w:val="99"/>
    <w:semiHidden/>
    <w:rsid w:val="000C2E71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2E71"/>
    <w:rPr>
      <w:b/>
      <w:bCs/>
    </w:rPr>
  </w:style>
  <w:style w:type="character" w:customStyle="1" w:styleId="Char3">
    <w:name w:val="批注主题 Char"/>
    <w:link w:val="aa"/>
    <w:uiPriority w:val="99"/>
    <w:semiHidden/>
    <w:rsid w:val="000C2E71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47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single" w:sz="4" w:space="0" w:color="CFDBEB"/>
                    <w:bottom w:val="single" w:sz="4" w:space="0" w:color="CFDBEB"/>
                    <w:right w:val="single" w:sz="4" w:space="0" w:color="CFDBEB"/>
                  </w:divBdr>
                  <w:divsChild>
                    <w:div w:id="18630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6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2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483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6772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60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7802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1236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071">
                  <w:marLeft w:val="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6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8064">
                          <w:marLeft w:val="7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2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3ED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Cattleya</dc:creator>
  <cp:lastModifiedBy>huangtianhong</cp:lastModifiedBy>
  <cp:revision>16</cp:revision>
  <cp:lastPrinted>2013-03-07T03:09:00Z</cp:lastPrinted>
  <dcterms:created xsi:type="dcterms:W3CDTF">2014-09-23T06:45:00Z</dcterms:created>
  <dcterms:modified xsi:type="dcterms:W3CDTF">2014-09-25T08:59:00Z</dcterms:modified>
</cp:coreProperties>
</file>