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E5B" w:rsidRDefault="000C3ACE">
      <w:pPr>
        <w:spacing w:line="360" w:lineRule="auto"/>
        <w:jc w:val="center"/>
        <w:rPr>
          <w:rFonts w:ascii="黑体" w:eastAsia="黑体" w:hAnsi="黑体"/>
          <w:b/>
          <w:sz w:val="32"/>
        </w:rPr>
      </w:pPr>
      <w:r>
        <w:rPr>
          <w:rFonts w:ascii="黑体" w:eastAsia="黑体" w:hAnsi="黑体" w:hint="eastAsia"/>
          <w:b/>
          <w:sz w:val="32"/>
        </w:rPr>
        <w:t>风险揭示书</w:t>
      </w:r>
    </w:p>
    <w:p w:rsidR="00FA0E5B" w:rsidRDefault="00FA0E5B">
      <w:pPr>
        <w:rPr>
          <w:rFonts w:ascii="Arial" w:hAnsi="Arial" w:cs="Arial"/>
          <w:b/>
          <w:color w:val="000000"/>
          <w:sz w:val="24"/>
          <w:u w:val="single"/>
        </w:rPr>
      </w:pPr>
    </w:p>
    <w:p w:rsidR="00FA0E5B" w:rsidRDefault="000C3ACE">
      <w:pPr>
        <w:spacing w:line="360" w:lineRule="auto"/>
        <w:jc w:val="left"/>
        <w:rPr>
          <w:rFonts w:ascii="Arial" w:hAnsi="Arial" w:cs="Arial"/>
          <w:b/>
          <w:color w:val="000000"/>
          <w:sz w:val="28"/>
          <w:szCs w:val="28"/>
        </w:rPr>
      </w:pPr>
      <w:r>
        <w:rPr>
          <w:rFonts w:ascii="Arial" w:hAnsi="Arial" w:cs="Arial" w:hint="eastAsia"/>
          <w:b/>
          <w:color w:val="000000"/>
          <w:sz w:val="28"/>
          <w:szCs w:val="28"/>
        </w:rPr>
        <w:t>尊敬的投资者：</w:t>
      </w:r>
    </w:p>
    <w:p w:rsidR="00FA0E5B" w:rsidRDefault="000C3ACE">
      <w:pPr>
        <w:spacing w:line="360" w:lineRule="auto"/>
        <w:ind w:firstLineChars="200" w:firstLine="480"/>
        <w:jc w:val="left"/>
        <w:rPr>
          <w:rFonts w:ascii="Arial" w:hAnsi="Arial" w:cs="Arial"/>
          <w:color w:val="000000"/>
          <w:sz w:val="24"/>
        </w:rPr>
      </w:pPr>
      <w:r>
        <w:rPr>
          <w:rFonts w:ascii="Arial" w:hAnsi="Arial" w:cs="Arial" w:hint="eastAsia"/>
          <w:color w:val="000000"/>
          <w:sz w:val="24"/>
        </w:rPr>
        <w:t>投资有风险，投资需谨慎。公开募集证券投资基金（以下简称</w:t>
      </w:r>
      <w:r>
        <w:rPr>
          <w:rFonts w:ascii="Arial" w:hAnsi="Arial" w:cs="Arial"/>
          <w:color w:val="000000"/>
          <w:sz w:val="24"/>
        </w:rPr>
        <w:t>“</w:t>
      </w:r>
      <w:r>
        <w:rPr>
          <w:rFonts w:ascii="Arial" w:hAnsi="Arial" w:cs="Arial" w:hint="eastAsia"/>
          <w:color w:val="000000"/>
          <w:sz w:val="24"/>
        </w:rPr>
        <w:t>基金</w:t>
      </w:r>
      <w:r>
        <w:rPr>
          <w:rFonts w:ascii="Arial" w:hAnsi="Arial" w:cs="Arial"/>
          <w:color w:val="000000"/>
          <w:sz w:val="24"/>
        </w:rPr>
        <w:t>”</w:t>
      </w:r>
      <w:r>
        <w:rPr>
          <w:rFonts w:ascii="Arial" w:hAnsi="Arial" w:cs="Arial" w:hint="eastAsia"/>
          <w:color w:val="000000"/>
          <w:sz w:val="24"/>
        </w:rPr>
        <w:t>）是一种长期投资工具，其主要功能是分散投资，降低投资单一证券所带来的个别风险。基金不同于银行储蓄等能够提供固定收益预期的金融工具，当您购买基金产品时，既可能按持有份额分享基金投资所产生的收益，也可能承担基金投资所带来的损失。</w:t>
      </w:r>
    </w:p>
    <w:p w:rsidR="00FA0E5B" w:rsidRDefault="000C3ACE">
      <w:pPr>
        <w:spacing w:line="360" w:lineRule="auto"/>
        <w:ind w:firstLineChars="200" w:firstLine="480"/>
        <w:jc w:val="left"/>
        <w:rPr>
          <w:rFonts w:ascii="Arial" w:hAnsi="Arial" w:cs="Arial"/>
          <w:color w:val="000000"/>
          <w:sz w:val="24"/>
        </w:rPr>
      </w:pPr>
      <w:r>
        <w:rPr>
          <w:rFonts w:ascii="Arial" w:hAnsi="Arial" w:cs="Arial" w:hint="eastAsia"/>
          <w:color w:val="000000"/>
          <w:sz w:val="24"/>
        </w:rPr>
        <w:t>基金管理人依照恪尽职守、诚实信用、谨慎勤勉的原则管理和运用基金财产，但不保证基金一定盈利，也不保证最低收益。投资者投资于本基金，极端情况下可能存在损失全部投资本金的情况。</w:t>
      </w:r>
      <w:r>
        <w:rPr>
          <w:rFonts w:ascii="Arial" w:hAnsi="Arial" w:cs="Arial"/>
          <w:color w:val="000000"/>
          <w:sz w:val="24"/>
        </w:rPr>
        <w:t>本基金的过往业绩及其净值高低并不预示其未来业绩表现，基金管理人管理的其他基金的业绩并不构成对本基金业绩表现的保证。</w:t>
      </w:r>
      <w:r>
        <w:rPr>
          <w:rFonts w:hAnsi="宋体"/>
          <w:color w:val="000000"/>
          <w:sz w:val="24"/>
        </w:rPr>
        <w:t>财通基金管理有限公司</w:t>
      </w:r>
      <w:r>
        <w:rPr>
          <w:rFonts w:ascii="Arial" w:hAnsi="Arial" w:cs="Arial"/>
          <w:color w:val="000000"/>
          <w:sz w:val="24"/>
        </w:rPr>
        <w:t>提醒您基金投资的</w:t>
      </w:r>
      <w:r>
        <w:rPr>
          <w:rFonts w:ascii="Arial" w:hAnsi="Arial" w:cs="Arial"/>
          <w:color w:val="000000"/>
          <w:sz w:val="24"/>
        </w:rPr>
        <w:t>“</w:t>
      </w:r>
      <w:r>
        <w:rPr>
          <w:rFonts w:ascii="Arial" w:hAnsi="Arial" w:cs="Arial"/>
          <w:color w:val="000000"/>
          <w:sz w:val="24"/>
        </w:rPr>
        <w:t>买者自负</w:t>
      </w:r>
      <w:r>
        <w:rPr>
          <w:rFonts w:ascii="Arial" w:hAnsi="Arial" w:cs="Arial"/>
          <w:color w:val="000000"/>
          <w:sz w:val="24"/>
        </w:rPr>
        <w:t>”</w:t>
      </w:r>
      <w:r>
        <w:rPr>
          <w:rFonts w:ascii="Arial" w:hAnsi="Arial" w:cs="Arial"/>
          <w:color w:val="000000"/>
          <w:sz w:val="24"/>
        </w:rPr>
        <w:t>原则，在做出投资决策后，基金运营状况与基金净值变化引致的投资风险，由您自行负担。基金管理人、基金托管人、基金销售机构及相关机构不对基金投资收益做出任何承诺或保证。</w:t>
      </w:r>
    </w:p>
    <w:p w:rsidR="00FA0E5B" w:rsidRDefault="000C3ACE">
      <w:pPr>
        <w:spacing w:line="360" w:lineRule="auto"/>
        <w:ind w:firstLineChars="200" w:firstLine="482"/>
        <w:jc w:val="left"/>
        <w:rPr>
          <w:rFonts w:ascii="Arial" w:hAnsi="Arial" w:cs="Arial"/>
          <w:b/>
          <w:color w:val="000000"/>
          <w:sz w:val="24"/>
          <w:u w:val="single"/>
        </w:rPr>
      </w:pPr>
      <w:r>
        <w:rPr>
          <w:rFonts w:ascii="Arial" w:hAnsi="Arial" w:cs="Arial" w:hint="eastAsia"/>
          <w:b/>
          <w:color w:val="000000"/>
          <w:sz w:val="24"/>
          <w:u w:val="single"/>
        </w:rPr>
        <w:t>您在做出投资决策之前，应仔细阅读基金合同、招募说明书、份额发售公告、产品资料概要等法律文件，充分理解本基金的风险收益特征和产品特性、权利、义务，并愿意承担相应的投资风险。本风险揭示书将向您重点揭示产品的相关服务机构、主要费用、产品期限、特有风险、特定安排、您的重要权利与义务、信息披露、冷静期和回访、投诉及争端解决方式等事项。</w:t>
      </w:r>
    </w:p>
    <w:p w:rsidR="00FA0E5B" w:rsidRDefault="000C3ACE">
      <w:pPr>
        <w:spacing w:line="360" w:lineRule="auto"/>
        <w:ind w:firstLineChars="200" w:firstLine="480"/>
        <w:jc w:val="left"/>
        <w:rPr>
          <w:rFonts w:ascii="Arial" w:hAnsi="Arial" w:cs="Arial"/>
          <w:color w:val="000000"/>
          <w:sz w:val="24"/>
        </w:rPr>
      </w:pPr>
      <w:r>
        <w:rPr>
          <w:rFonts w:ascii="Arial" w:hAnsi="Arial" w:cs="Arial" w:hint="eastAsia"/>
          <w:color w:val="000000"/>
          <w:sz w:val="24"/>
        </w:rPr>
        <w:t>根据有关法律法规，基金管理人</w:t>
      </w:r>
      <w:r>
        <w:rPr>
          <w:rFonts w:ascii="Arial" w:hAnsi="Arial" w:cs="Arial"/>
          <w:color w:val="000000"/>
          <w:sz w:val="24"/>
        </w:rPr>
        <w:t>/</w:t>
      </w:r>
      <w:r>
        <w:rPr>
          <w:rFonts w:ascii="Arial" w:hAnsi="Arial" w:cs="Arial" w:hint="eastAsia"/>
          <w:color w:val="000000"/>
          <w:sz w:val="24"/>
        </w:rPr>
        <w:t>基金销售机构</w:t>
      </w:r>
      <w:r>
        <w:rPr>
          <w:rFonts w:hAnsi="宋体"/>
          <w:color w:val="000000"/>
          <w:sz w:val="24"/>
        </w:rPr>
        <w:t>财通基金管理有限公司</w:t>
      </w:r>
      <w:r>
        <w:rPr>
          <w:rFonts w:ascii="Arial" w:hAnsi="Arial" w:cs="Arial" w:hint="eastAsia"/>
          <w:color w:val="000000"/>
          <w:sz w:val="24"/>
        </w:rPr>
        <w:t>做出如下风险揭示：</w:t>
      </w:r>
    </w:p>
    <w:p w:rsidR="00FA0E5B" w:rsidRDefault="000C3ACE">
      <w:pPr>
        <w:spacing w:line="360" w:lineRule="auto"/>
        <w:ind w:firstLineChars="200" w:firstLine="480"/>
        <w:jc w:val="left"/>
        <w:rPr>
          <w:rFonts w:ascii="Arial" w:hAnsi="Arial" w:cs="Arial"/>
          <w:color w:val="000000"/>
          <w:sz w:val="24"/>
        </w:rPr>
      </w:pPr>
      <w:r>
        <w:rPr>
          <w:rFonts w:ascii="Arial" w:hAnsi="Arial" w:cs="Arial" w:hint="eastAsia"/>
          <w:color w:val="000000"/>
          <w:sz w:val="24"/>
        </w:rPr>
        <w:t>一</w:t>
      </w:r>
      <w:r>
        <w:rPr>
          <w:rFonts w:ascii="Arial" w:hAnsi="Arial" w:cs="Arial"/>
          <w:color w:val="000000"/>
          <w:sz w:val="24"/>
        </w:rPr>
        <w:t>、</w:t>
      </w:r>
      <w:r>
        <w:rPr>
          <w:rFonts w:ascii="Arial" w:hAnsi="Arial" w:cs="Arial" w:hint="eastAsia"/>
          <w:color w:val="000000"/>
          <w:sz w:val="24"/>
        </w:rPr>
        <w:t>依据投资对象的不同，基金分为股票基金、混合基金、债券基金、货币市场基金、基金中基金、商品基金等不同类型，您投资不同类型的基金将获得不同的收益预期，也将承担不同程度的风险。一般来说，基金的收益预期越高，您承担的风险也越大。</w:t>
      </w:r>
    </w:p>
    <w:p w:rsidR="00FA0E5B" w:rsidRDefault="000C3ACE">
      <w:pPr>
        <w:spacing w:line="360" w:lineRule="auto"/>
        <w:ind w:firstLineChars="200" w:firstLine="480"/>
        <w:jc w:val="left"/>
        <w:rPr>
          <w:rFonts w:ascii="Arial" w:hAnsi="Arial" w:cs="Arial"/>
          <w:color w:val="000000"/>
          <w:sz w:val="24"/>
        </w:rPr>
      </w:pPr>
      <w:r>
        <w:rPr>
          <w:rFonts w:ascii="Arial" w:hAnsi="Arial" w:cs="Arial"/>
          <w:color w:val="000000"/>
          <w:sz w:val="24"/>
        </w:rPr>
        <w:t>二、基金在投资运作过程中可能面临各种风险，既包括市场风险，也包括基金自身的管理风险、技术风险和合规风险等。巨额赎回风险是开放式基金所</w:t>
      </w:r>
      <w:r>
        <w:rPr>
          <w:rFonts w:ascii="Arial" w:hAnsi="Arial" w:cs="Arial"/>
          <w:color w:val="000000"/>
          <w:sz w:val="24"/>
        </w:rPr>
        <w:lastRenderedPageBreak/>
        <w:t>特有的一种风险，即当单个开放日基金的净赎回申请超过基金总份额的一定比例（开放式基金为百分之十，定期开放基金为百分之二十，中国证监会规定的特殊产品除外）时，您将可能无法及时赎回申请的全部基金份额，或您赎回的款项可能延缓支付。</w:t>
      </w:r>
    </w:p>
    <w:p w:rsidR="00FA0E5B" w:rsidRDefault="000C3ACE">
      <w:pPr>
        <w:spacing w:line="360" w:lineRule="auto"/>
        <w:ind w:firstLineChars="200" w:firstLine="480"/>
        <w:jc w:val="left"/>
        <w:rPr>
          <w:rFonts w:ascii="Arial" w:hAnsi="Arial" w:cs="Arial"/>
          <w:color w:val="000000"/>
          <w:sz w:val="24"/>
        </w:rPr>
      </w:pPr>
      <w:r>
        <w:rPr>
          <w:rFonts w:ascii="Arial" w:hAnsi="Arial" w:cs="Arial"/>
          <w:color w:val="000000"/>
          <w:sz w:val="24"/>
        </w:rPr>
        <w:t>三、您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rsidR="00FA0E5B" w:rsidRDefault="000C3ACE">
      <w:pPr>
        <w:spacing w:line="360" w:lineRule="auto"/>
        <w:ind w:firstLineChars="200" w:firstLine="480"/>
        <w:jc w:val="left"/>
        <w:rPr>
          <w:rFonts w:ascii="Arial" w:hAnsi="Arial" w:cs="Arial"/>
          <w:color w:val="000000"/>
          <w:sz w:val="24"/>
        </w:rPr>
      </w:pPr>
      <w:r>
        <w:rPr>
          <w:rFonts w:ascii="Arial" w:hAnsi="Arial" w:cs="Arial" w:hint="eastAsia"/>
          <w:color w:val="000000"/>
          <w:sz w:val="24"/>
        </w:rPr>
        <w:t>四、本基金</w:t>
      </w:r>
      <w:r>
        <w:rPr>
          <w:rFonts w:ascii="Arial" w:hAnsi="Arial" w:cs="Arial"/>
          <w:color w:val="000000"/>
          <w:sz w:val="24"/>
        </w:rPr>
        <w:t>情况</w:t>
      </w:r>
    </w:p>
    <w:p w:rsidR="00FA0E5B" w:rsidRDefault="000C3ACE">
      <w:pPr>
        <w:spacing w:line="360" w:lineRule="auto"/>
        <w:ind w:firstLineChars="200" w:firstLine="480"/>
        <w:jc w:val="left"/>
        <w:rPr>
          <w:rFonts w:hAnsi="宋体"/>
          <w:color w:val="000000"/>
          <w:sz w:val="24"/>
        </w:rPr>
      </w:pPr>
      <w:r>
        <w:rPr>
          <w:rFonts w:hAnsi="宋体" w:hint="eastAsia"/>
          <w:color w:val="000000"/>
          <w:sz w:val="24"/>
        </w:rPr>
        <w:t>（一）本基金基金</w:t>
      </w:r>
      <w:r>
        <w:rPr>
          <w:rFonts w:hAnsi="宋体"/>
          <w:color w:val="000000"/>
          <w:sz w:val="24"/>
        </w:rPr>
        <w:t>管理人</w:t>
      </w:r>
      <w:r>
        <w:rPr>
          <w:rFonts w:hAnsi="宋体" w:hint="eastAsia"/>
          <w:color w:val="000000"/>
          <w:sz w:val="24"/>
        </w:rPr>
        <w:t>、</w:t>
      </w:r>
      <w:r>
        <w:rPr>
          <w:rFonts w:hAnsi="宋体"/>
          <w:color w:val="000000"/>
          <w:sz w:val="24"/>
        </w:rPr>
        <w:t>直销机构</w:t>
      </w:r>
      <w:r>
        <w:rPr>
          <w:rFonts w:hAnsi="宋体" w:hint="eastAsia"/>
          <w:color w:val="000000"/>
          <w:sz w:val="24"/>
        </w:rPr>
        <w:t>为</w:t>
      </w:r>
      <w:r>
        <w:rPr>
          <w:rFonts w:hAnsi="宋体"/>
          <w:color w:val="000000"/>
          <w:sz w:val="24"/>
        </w:rPr>
        <w:t>财通基金管理有限公司，</w:t>
      </w:r>
      <w:r w:rsidRPr="00CE2A33">
        <w:rPr>
          <w:rFonts w:hAnsi="宋体" w:hint="eastAsia"/>
          <w:color w:val="000000"/>
          <w:sz w:val="24"/>
        </w:rPr>
        <w:t>登记机构为中国证券登记结算有限责任公司</w:t>
      </w:r>
      <w:r>
        <w:rPr>
          <w:rFonts w:hAnsi="宋体" w:hint="eastAsia"/>
          <w:color w:val="000000"/>
          <w:sz w:val="24"/>
        </w:rPr>
        <w:t>，基金</w:t>
      </w:r>
      <w:r>
        <w:rPr>
          <w:rFonts w:hAnsi="宋体"/>
          <w:color w:val="000000"/>
          <w:sz w:val="24"/>
        </w:rPr>
        <w:t>托管人为</w:t>
      </w:r>
      <w:r w:rsidRPr="00CE2A33">
        <w:rPr>
          <w:rFonts w:hAnsi="宋体" w:hint="eastAsia"/>
          <w:color w:val="000000"/>
          <w:sz w:val="24"/>
        </w:rPr>
        <w:t>中国工商</w:t>
      </w:r>
      <w:r>
        <w:rPr>
          <w:rFonts w:hAnsi="宋体" w:hint="eastAsia"/>
          <w:color w:val="000000"/>
          <w:sz w:val="24"/>
        </w:rPr>
        <w:t>银行股份有限公司，</w:t>
      </w:r>
      <w:r>
        <w:rPr>
          <w:rFonts w:hAnsi="宋体"/>
          <w:color w:val="000000"/>
          <w:sz w:val="24"/>
        </w:rPr>
        <w:t>基金代销机构详见</w:t>
      </w:r>
      <w:r>
        <w:rPr>
          <w:rFonts w:hAnsi="宋体" w:hint="eastAsia"/>
          <w:color w:val="000000"/>
          <w:sz w:val="24"/>
        </w:rPr>
        <w:t>基金</w:t>
      </w:r>
      <w:r>
        <w:rPr>
          <w:rFonts w:hAnsi="宋体"/>
          <w:color w:val="000000"/>
          <w:sz w:val="24"/>
        </w:rPr>
        <w:t>管理人官方网站</w:t>
      </w:r>
      <w:r>
        <w:rPr>
          <w:rFonts w:hAnsi="宋体" w:hint="eastAsia"/>
          <w:color w:val="000000"/>
          <w:sz w:val="24"/>
        </w:rPr>
        <w:t>（</w:t>
      </w:r>
      <w:hyperlink r:id="rId8" w:history="1">
        <w:r>
          <w:rPr>
            <w:rStyle w:val="ac"/>
            <w:rFonts w:hAnsi="宋体"/>
            <w:sz w:val="24"/>
          </w:rPr>
          <w:t>www.ctfund.com</w:t>
        </w:r>
      </w:hyperlink>
      <w:r>
        <w:rPr>
          <w:rFonts w:hAnsi="宋体" w:hint="eastAsia"/>
          <w:color w:val="000000"/>
          <w:sz w:val="24"/>
        </w:rPr>
        <w:t>）。</w:t>
      </w:r>
    </w:p>
    <w:p w:rsidR="00FA0E5B" w:rsidRDefault="000C3ACE">
      <w:pPr>
        <w:spacing w:line="360" w:lineRule="auto"/>
        <w:ind w:firstLineChars="200" w:firstLine="480"/>
        <w:jc w:val="left"/>
        <w:rPr>
          <w:rFonts w:hAnsi="宋体"/>
          <w:color w:val="000000"/>
          <w:sz w:val="24"/>
        </w:rPr>
      </w:pPr>
      <w:r w:rsidRPr="00F51775">
        <w:rPr>
          <w:rFonts w:hAnsi="宋体" w:hint="eastAsia"/>
          <w:color w:val="000000"/>
          <w:sz w:val="24"/>
        </w:rPr>
        <w:t>（二）</w:t>
      </w:r>
      <w:r w:rsidRPr="00F51775">
        <w:rPr>
          <w:rFonts w:hAnsi="宋体"/>
          <w:color w:val="000000"/>
          <w:sz w:val="24"/>
        </w:rPr>
        <w:t>本基金</w:t>
      </w:r>
      <w:r w:rsidRPr="00F51775">
        <w:rPr>
          <w:rFonts w:hAnsi="宋体" w:hint="eastAsia"/>
          <w:color w:val="000000"/>
          <w:sz w:val="24"/>
        </w:rPr>
        <w:t>支付基金</w:t>
      </w:r>
      <w:r w:rsidRPr="00F51775">
        <w:rPr>
          <w:rFonts w:hAnsi="宋体"/>
          <w:color w:val="000000"/>
          <w:sz w:val="24"/>
        </w:rPr>
        <w:t>管理人的</w:t>
      </w:r>
      <w:r w:rsidRPr="00F51775">
        <w:rPr>
          <w:rFonts w:hAnsi="宋体" w:hint="eastAsia"/>
          <w:color w:val="000000"/>
          <w:sz w:val="24"/>
        </w:rPr>
        <w:t>年</w:t>
      </w:r>
      <w:r w:rsidRPr="00F51775">
        <w:rPr>
          <w:rFonts w:hAnsi="宋体"/>
          <w:color w:val="000000"/>
          <w:sz w:val="24"/>
        </w:rPr>
        <w:t>管理费率为</w:t>
      </w:r>
      <w:r w:rsidR="002414CA" w:rsidRPr="00F51775">
        <w:rPr>
          <w:rFonts w:hAnsi="宋体"/>
          <w:color w:val="000000"/>
          <w:sz w:val="24"/>
        </w:rPr>
        <w:t>0.6</w:t>
      </w:r>
      <w:r w:rsidRPr="00F51775">
        <w:rPr>
          <w:rFonts w:hAnsi="宋体"/>
          <w:color w:val="000000"/>
          <w:sz w:val="24"/>
        </w:rPr>
        <w:t>%</w:t>
      </w:r>
      <w:r w:rsidRPr="00F51775">
        <w:rPr>
          <w:rFonts w:hAnsi="宋体" w:hint="eastAsia"/>
          <w:color w:val="000000"/>
          <w:sz w:val="24"/>
        </w:rPr>
        <w:t>，支付</w:t>
      </w:r>
      <w:r w:rsidRPr="00F51775">
        <w:rPr>
          <w:rFonts w:hAnsi="宋体"/>
          <w:color w:val="000000"/>
          <w:sz w:val="24"/>
        </w:rPr>
        <w:t>基金托管人的年</w:t>
      </w:r>
      <w:r w:rsidRPr="00F51775">
        <w:rPr>
          <w:rFonts w:hAnsi="宋体" w:hint="eastAsia"/>
          <w:color w:val="000000"/>
          <w:sz w:val="24"/>
        </w:rPr>
        <w:t>托管</w:t>
      </w:r>
      <w:r w:rsidRPr="00F51775">
        <w:rPr>
          <w:rFonts w:hAnsi="宋体"/>
          <w:color w:val="000000"/>
          <w:sz w:val="24"/>
        </w:rPr>
        <w:t>费率为</w:t>
      </w:r>
      <w:r w:rsidRPr="00F51775">
        <w:rPr>
          <w:rFonts w:hAnsi="宋体"/>
          <w:color w:val="000000"/>
          <w:sz w:val="24"/>
        </w:rPr>
        <w:t>0.</w:t>
      </w:r>
      <w:r w:rsidR="002414CA" w:rsidRPr="00F51775">
        <w:rPr>
          <w:rFonts w:hAnsi="宋体"/>
          <w:color w:val="000000"/>
          <w:sz w:val="24"/>
        </w:rPr>
        <w:t>15</w:t>
      </w:r>
      <w:r w:rsidRPr="00F51775">
        <w:rPr>
          <w:rFonts w:hAnsi="宋体"/>
          <w:color w:val="000000"/>
          <w:sz w:val="24"/>
        </w:rPr>
        <w:t>%</w:t>
      </w:r>
      <w:r w:rsidRPr="00F51775">
        <w:rPr>
          <w:rFonts w:hAnsi="宋体" w:hint="eastAsia"/>
          <w:color w:val="000000"/>
          <w:sz w:val="24"/>
        </w:rPr>
        <w:t>，其他费用详见招募说明书</w:t>
      </w:r>
      <w:r w:rsidRPr="00F51775">
        <w:rPr>
          <w:rFonts w:hAnsi="宋体"/>
          <w:color w:val="000000"/>
          <w:sz w:val="24"/>
        </w:rPr>
        <w:t>。</w:t>
      </w:r>
    </w:p>
    <w:p w:rsidR="00FA0E5B" w:rsidRDefault="000C3ACE">
      <w:pPr>
        <w:spacing w:line="360" w:lineRule="auto"/>
        <w:ind w:firstLineChars="200" w:firstLine="480"/>
        <w:rPr>
          <w:rFonts w:ascii="宋体" w:hAnsi="宋体"/>
          <w:color w:val="000000"/>
          <w:sz w:val="24"/>
        </w:rPr>
      </w:pPr>
      <w:r>
        <w:rPr>
          <w:rFonts w:hAnsi="宋体" w:hint="eastAsia"/>
          <w:color w:val="000000"/>
          <w:sz w:val="24"/>
        </w:rPr>
        <w:t>（三）本基金基金</w:t>
      </w:r>
      <w:r>
        <w:rPr>
          <w:rFonts w:hAnsi="宋体"/>
          <w:color w:val="000000"/>
          <w:sz w:val="24"/>
        </w:rPr>
        <w:t>合同期限不定，</w:t>
      </w:r>
      <w:r>
        <w:rPr>
          <w:rFonts w:hAnsi="宋体" w:hint="eastAsia"/>
          <w:color w:val="000000"/>
          <w:sz w:val="24"/>
        </w:rPr>
        <w:t>为契约型开放式基金</w:t>
      </w:r>
      <w:r>
        <w:rPr>
          <w:rFonts w:hint="eastAsia"/>
          <w:bCs/>
          <w:sz w:val="24"/>
        </w:rPr>
        <w:t>。</w:t>
      </w:r>
    </w:p>
    <w:p w:rsidR="00FA0E5B" w:rsidRDefault="000C3ACE">
      <w:pPr>
        <w:spacing w:line="360" w:lineRule="auto"/>
        <w:ind w:firstLineChars="200" w:firstLine="480"/>
        <w:jc w:val="left"/>
        <w:rPr>
          <w:rFonts w:hAnsi="宋体"/>
          <w:color w:val="000000"/>
          <w:sz w:val="24"/>
        </w:rPr>
      </w:pPr>
      <w:r>
        <w:rPr>
          <w:rFonts w:hAnsi="宋体" w:hint="eastAsia"/>
          <w:color w:val="000000"/>
          <w:sz w:val="24"/>
        </w:rPr>
        <w:t>（四）本基金的特有风险：</w:t>
      </w:r>
    </w:p>
    <w:p w:rsidR="00FA0E5B" w:rsidRDefault="000C3ACE">
      <w:pPr>
        <w:spacing w:line="360" w:lineRule="auto"/>
        <w:ind w:firstLineChars="200" w:firstLine="482"/>
        <w:rPr>
          <w:rFonts w:hAnsi="宋体"/>
          <w:color w:val="000000"/>
          <w:sz w:val="24"/>
        </w:rPr>
      </w:pPr>
      <w:r>
        <w:rPr>
          <w:rFonts w:hAnsi="宋体" w:hint="eastAsia"/>
          <w:b/>
          <w:bCs/>
          <w:sz w:val="24"/>
        </w:rPr>
        <w:t>1</w:t>
      </w:r>
      <w:r>
        <w:rPr>
          <w:rFonts w:hAnsi="宋体" w:hint="eastAsia"/>
          <w:b/>
          <w:bCs/>
          <w:sz w:val="24"/>
        </w:rPr>
        <w:t>、本基金为混合型发起式基金，风险等级为</w:t>
      </w:r>
      <w:r>
        <w:rPr>
          <w:rFonts w:hAnsi="宋体" w:hint="eastAsia"/>
          <w:b/>
          <w:bCs/>
          <w:sz w:val="24"/>
        </w:rPr>
        <w:t>R3</w:t>
      </w:r>
      <w:r>
        <w:rPr>
          <w:rFonts w:hAnsi="宋体" w:hint="eastAsia"/>
          <w:b/>
          <w:bCs/>
          <w:sz w:val="24"/>
        </w:rPr>
        <w:t>等级。</w:t>
      </w:r>
    </w:p>
    <w:p w:rsidR="00FA0E5B" w:rsidRDefault="000C3ACE">
      <w:pPr>
        <w:spacing w:line="360" w:lineRule="auto"/>
        <w:ind w:firstLineChars="200" w:firstLine="480"/>
        <w:rPr>
          <w:rFonts w:hAnsi="宋体"/>
          <w:color w:val="000000"/>
          <w:sz w:val="24"/>
        </w:rPr>
      </w:pPr>
      <w:r>
        <w:rPr>
          <w:rFonts w:hint="eastAsia"/>
          <w:color w:val="000000"/>
          <w:sz w:val="24"/>
        </w:rPr>
        <w:t>2</w:t>
      </w:r>
      <w:r>
        <w:rPr>
          <w:rFonts w:hint="eastAsia"/>
          <w:color w:val="000000"/>
          <w:sz w:val="24"/>
        </w:rPr>
        <w:t>、</w:t>
      </w:r>
      <w:r>
        <w:rPr>
          <w:color w:val="000000"/>
          <w:sz w:val="24"/>
        </w:rPr>
        <w:t>本基金股票资产比例为基金资产的</w:t>
      </w:r>
      <w:r>
        <w:rPr>
          <w:color w:val="000000"/>
          <w:sz w:val="24"/>
        </w:rPr>
        <w:t>50%</w:t>
      </w:r>
      <w:r>
        <w:rPr>
          <w:color w:val="000000"/>
          <w:sz w:val="24"/>
        </w:rPr>
        <w:t>～</w:t>
      </w:r>
      <w:r>
        <w:rPr>
          <w:color w:val="000000"/>
          <w:sz w:val="24"/>
        </w:rPr>
        <w:t>95%</w:t>
      </w:r>
      <w:r>
        <w:rPr>
          <w:color w:val="000000"/>
          <w:sz w:val="24"/>
        </w:rPr>
        <w:t>，不能完全规避市场下跌的风险和个股风险，在市场上涨时也不能保证基金净值能够完全跟随或超越市场涨幅。在股票资产配置上，本基金主要运用成长、主题、定向增发、动量等多种策略精选个股，而市场整体并不全部符合本基金的选股标准。在特定的投资期间之内，本基金的收益率可能会与市场整体产生偏差。</w:t>
      </w:r>
    </w:p>
    <w:p w:rsidR="00026AD8" w:rsidRPr="00404CF1" w:rsidRDefault="000C3ACE" w:rsidP="00026AD8">
      <w:pPr>
        <w:spacing w:line="360" w:lineRule="auto"/>
        <w:ind w:firstLineChars="200" w:firstLine="480"/>
        <w:rPr>
          <w:color w:val="000000"/>
          <w:sz w:val="24"/>
        </w:rPr>
      </w:pPr>
      <w:r>
        <w:rPr>
          <w:rFonts w:hint="eastAsia"/>
          <w:bCs/>
          <w:color w:val="000000"/>
          <w:sz w:val="24"/>
        </w:rPr>
        <w:t>3</w:t>
      </w:r>
      <w:r>
        <w:rPr>
          <w:rFonts w:hint="eastAsia"/>
          <w:bCs/>
          <w:color w:val="000000"/>
          <w:sz w:val="24"/>
        </w:rPr>
        <w:t>、</w:t>
      </w:r>
      <w:r w:rsidR="00026AD8" w:rsidRPr="00404CF1">
        <w:rPr>
          <w:rFonts w:hint="eastAsia"/>
          <w:color w:val="000000"/>
          <w:sz w:val="24"/>
        </w:rPr>
        <w:t>本基金可以投资科创板股票，会面临科创板机制下因投资标的、市场制度以及交易规则等差异带来的特有风险，包括流动性风险、退市风险和投资集中风险等。</w:t>
      </w:r>
    </w:p>
    <w:p w:rsidR="00FA0E5B" w:rsidRDefault="000C3ACE">
      <w:pPr>
        <w:spacing w:line="360" w:lineRule="auto"/>
        <w:ind w:firstLineChars="200" w:firstLine="480"/>
        <w:rPr>
          <w:bCs/>
          <w:color w:val="000000"/>
          <w:sz w:val="24"/>
        </w:rPr>
      </w:pPr>
      <w:r>
        <w:rPr>
          <w:rFonts w:hint="eastAsia"/>
          <w:bCs/>
          <w:color w:val="000000"/>
          <w:sz w:val="24"/>
        </w:rPr>
        <w:t>4</w:t>
      </w:r>
      <w:r>
        <w:rPr>
          <w:rFonts w:hint="eastAsia"/>
          <w:bCs/>
          <w:color w:val="000000"/>
          <w:sz w:val="24"/>
        </w:rPr>
        <w:t>、本基金的投资范围包括存托凭证，面临存托凭证价格大幅波动甚至出现较大亏损的风险、与存托凭证发行机制相关的风险等。</w:t>
      </w:r>
    </w:p>
    <w:p w:rsidR="00FA0E5B" w:rsidRDefault="000C3ACE">
      <w:pPr>
        <w:spacing w:line="360" w:lineRule="auto"/>
        <w:ind w:firstLineChars="200" w:firstLine="480"/>
        <w:jc w:val="left"/>
        <w:rPr>
          <w:bCs/>
          <w:color w:val="000000"/>
          <w:sz w:val="24"/>
        </w:rPr>
      </w:pPr>
      <w:r>
        <w:rPr>
          <w:rFonts w:hint="eastAsia"/>
          <w:bCs/>
          <w:color w:val="000000"/>
          <w:sz w:val="24"/>
        </w:rPr>
        <w:t>（五）</w:t>
      </w:r>
      <w:r>
        <w:rPr>
          <w:bCs/>
          <w:color w:val="000000"/>
          <w:sz w:val="24"/>
        </w:rPr>
        <w:t>本基金的其他风险</w:t>
      </w:r>
    </w:p>
    <w:p w:rsidR="00FA0E5B" w:rsidRDefault="000C3ACE">
      <w:pPr>
        <w:spacing w:line="360" w:lineRule="auto"/>
        <w:ind w:firstLineChars="200" w:firstLine="480"/>
        <w:jc w:val="left"/>
        <w:rPr>
          <w:rFonts w:ascii="Arial" w:hAnsi="Arial" w:cs="Arial"/>
          <w:color w:val="000000"/>
          <w:sz w:val="24"/>
        </w:rPr>
      </w:pPr>
      <w:r>
        <w:rPr>
          <w:rFonts w:hint="eastAsia"/>
          <w:color w:val="000000" w:themeColor="text1"/>
          <w:sz w:val="24"/>
        </w:rPr>
        <w:t>本基金为证券投资基金，证券市场的变化将影响到基金的业绩。因此，宏</w:t>
      </w:r>
      <w:r>
        <w:rPr>
          <w:rFonts w:hint="eastAsia"/>
          <w:color w:val="000000" w:themeColor="text1"/>
          <w:sz w:val="24"/>
        </w:rPr>
        <w:lastRenderedPageBreak/>
        <w:t>观和微观经济因素、国家政策、市场变动、行业与</w:t>
      </w:r>
      <w:r>
        <w:rPr>
          <w:color w:val="000000" w:themeColor="text1"/>
          <w:sz w:val="24"/>
        </w:rPr>
        <w:t>个股</w:t>
      </w:r>
      <w:r>
        <w:rPr>
          <w:rFonts w:hint="eastAsia"/>
          <w:color w:val="000000" w:themeColor="text1"/>
          <w:sz w:val="24"/>
        </w:rPr>
        <w:t>业绩的变化、投资人风险收益偏好和市场流动程度等影响证券市场的各种因素将影响到本基金业绩，从而产生市场风险。</w:t>
      </w:r>
    </w:p>
    <w:p w:rsidR="00FA0E5B" w:rsidRDefault="000C3ACE">
      <w:pPr>
        <w:spacing w:line="360" w:lineRule="auto"/>
        <w:ind w:firstLineChars="200" w:firstLine="480"/>
        <w:rPr>
          <w:color w:val="000000" w:themeColor="text1"/>
          <w:sz w:val="24"/>
        </w:rPr>
      </w:pPr>
      <w:r>
        <w:rPr>
          <w:rFonts w:hint="eastAsia"/>
          <w:color w:val="000000" w:themeColor="text1"/>
          <w:sz w:val="24"/>
        </w:rPr>
        <w:t>基金管理人的知识、经验、判断、决策、技能等，会影响其对信息的占有以及对经济形势、证券价格走势的判断，从而影响基金收益水平。基金管理人和基金托管人的管理手段和管理技术等因素的变化也会影响基金收益水平。</w:t>
      </w:r>
    </w:p>
    <w:p w:rsidR="00FA0E5B" w:rsidRDefault="000C3ACE">
      <w:pPr>
        <w:spacing w:line="360" w:lineRule="auto"/>
        <w:ind w:firstLineChars="200" w:firstLine="480"/>
        <w:rPr>
          <w:color w:val="000000" w:themeColor="text1"/>
          <w:sz w:val="24"/>
        </w:rPr>
      </w:pPr>
      <w:r>
        <w:rPr>
          <w:rFonts w:hint="eastAsia"/>
          <w:color w:val="000000" w:themeColor="text1"/>
          <w:sz w:val="24"/>
        </w:rPr>
        <w:t>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rsidR="00FA0E5B" w:rsidRDefault="000C3ACE">
      <w:pPr>
        <w:spacing w:line="360" w:lineRule="auto"/>
        <w:ind w:firstLineChars="200" w:firstLine="480"/>
        <w:rPr>
          <w:color w:val="000000"/>
          <w:sz w:val="24"/>
        </w:rPr>
      </w:pPr>
      <w:r w:rsidRPr="00CE2A33">
        <w:rPr>
          <w:rFonts w:hint="eastAsia"/>
          <w:color w:val="000000"/>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rsidR="00FA0E5B" w:rsidRDefault="000C3ACE">
      <w:pPr>
        <w:spacing w:line="360" w:lineRule="auto"/>
        <w:ind w:firstLineChars="200" w:firstLine="480"/>
        <w:jc w:val="left"/>
        <w:rPr>
          <w:rFonts w:ascii="Arial" w:hAnsi="Arial" w:cs="Arial"/>
          <w:color w:val="000000"/>
          <w:sz w:val="24"/>
        </w:rPr>
      </w:pPr>
      <w:r>
        <w:rPr>
          <w:rFonts w:hint="eastAsia"/>
          <w:color w:val="000000" w:themeColor="text1"/>
          <w:sz w:val="24"/>
        </w:rPr>
        <w:t>当计算机、通讯系统、交易网络等技术保障系统或信息网络支持出现异常情况，</w:t>
      </w:r>
      <w:r>
        <w:rPr>
          <w:color w:val="000000" w:themeColor="text1"/>
          <w:sz w:val="24"/>
        </w:rPr>
        <w:t>本基金可能面临技术风险</w:t>
      </w:r>
      <w:r>
        <w:rPr>
          <w:rFonts w:hint="eastAsia"/>
          <w:color w:val="000000" w:themeColor="text1"/>
          <w:sz w:val="24"/>
        </w:rPr>
        <w:t>；战争、自然灾害等不可抗力可能导致基金资产有遭受损失的风险，以及证券市场、基金管理人及基金代销机构可能因不可抗力无法正常工作，从而产生影响基金的申购和赎回按正常时限完成的风险。</w:t>
      </w:r>
    </w:p>
    <w:p w:rsidR="00FA0E5B" w:rsidRDefault="000C3ACE">
      <w:pPr>
        <w:spacing w:line="360" w:lineRule="auto"/>
        <w:ind w:firstLineChars="200" w:firstLine="480"/>
        <w:rPr>
          <w:rFonts w:hAnsi="宋体"/>
          <w:color w:val="000000"/>
          <w:sz w:val="24"/>
        </w:rPr>
      </w:pPr>
      <w:r>
        <w:rPr>
          <w:rFonts w:ascii="Arial" w:hAnsi="Arial" w:cs="Arial" w:hint="eastAsia"/>
          <w:color w:val="000000"/>
          <w:sz w:val="24"/>
        </w:rPr>
        <w:t>（六）</w:t>
      </w:r>
      <w:r>
        <w:rPr>
          <w:rFonts w:hAnsi="宋体"/>
          <w:color w:val="000000"/>
          <w:sz w:val="24"/>
        </w:rPr>
        <w:t>您享有如下权利：</w:t>
      </w:r>
      <w:r>
        <w:rPr>
          <w:rFonts w:hAnsi="宋体"/>
          <w:color w:val="000000"/>
          <w:sz w:val="24"/>
        </w:rPr>
        <w:t>1</w:t>
      </w:r>
      <w:r>
        <w:rPr>
          <w:rFonts w:hAnsi="宋体"/>
          <w:color w:val="000000"/>
          <w:sz w:val="24"/>
        </w:rPr>
        <w:t>、分享基金收益；</w:t>
      </w:r>
      <w:r>
        <w:rPr>
          <w:rFonts w:hAnsi="宋体"/>
          <w:color w:val="000000"/>
          <w:sz w:val="24"/>
        </w:rPr>
        <w:t>2</w:t>
      </w:r>
      <w:r>
        <w:rPr>
          <w:rFonts w:hAnsi="宋体"/>
          <w:color w:val="000000"/>
          <w:sz w:val="24"/>
        </w:rPr>
        <w:t>、参与清算分配；</w:t>
      </w:r>
      <w:r>
        <w:rPr>
          <w:rFonts w:hAnsi="宋体"/>
          <w:color w:val="000000"/>
          <w:sz w:val="24"/>
        </w:rPr>
        <w:t>3</w:t>
      </w:r>
      <w:r>
        <w:rPr>
          <w:rFonts w:hAnsi="宋体"/>
          <w:color w:val="000000"/>
          <w:sz w:val="24"/>
        </w:rPr>
        <w:t>、申赎或转让基金份额；</w:t>
      </w:r>
      <w:r>
        <w:rPr>
          <w:rFonts w:hAnsi="宋体"/>
          <w:color w:val="000000"/>
          <w:sz w:val="24"/>
        </w:rPr>
        <w:t>4</w:t>
      </w:r>
      <w:r>
        <w:rPr>
          <w:rFonts w:hAnsi="宋体"/>
          <w:color w:val="000000"/>
          <w:sz w:val="24"/>
        </w:rPr>
        <w:t>、召开或召集持有人大会，并行使表决权；</w:t>
      </w:r>
      <w:r>
        <w:rPr>
          <w:rFonts w:hAnsi="宋体"/>
          <w:color w:val="000000"/>
          <w:sz w:val="24"/>
        </w:rPr>
        <w:t>5</w:t>
      </w:r>
      <w:r>
        <w:rPr>
          <w:rFonts w:hAnsi="宋体"/>
          <w:color w:val="000000"/>
          <w:sz w:val="24"/>
        </w:rPr>
        <w:t>、查阅或复制信批资料；</w:t>
      </w:r>
      <w:r>
        <w:rPr>
          <w:rFonts w:hAnsi="宋体"/>
          <w:color w:val="000000"/>
          <w:sz w:val="24"/>
        </w:rPr>
        <w:t>6</w:t>
      </w:r>
      <w:r>
        <w:rPr>
          <w:rFonts w:hAnsi="宋体"/>
          <w:color w:val="000000"/>
          <w:sz w:val="24"/>
        </w:rPr>
        <w:t>、监督管理人投资运作；</w:t>
      </w:r>
      <w:r>
        <w:rPr>
          <w:rFonts w:hAnsi="宋体"/>
          <w:color w:val="000000"/>
          <w:sz w:val="24"/>
        </w:rPr>
        <w:t>7</w:t>
      </w:r>
      <w:r>
        <w:rPr>
          <w:rFonts w:hAnsi="宋体"/>
          <w:color w:val="000000"/>
          <w:sz w:val="24"/>
        </w:rPr>
        <w:t>、依法提起诉讼或仲裁</w:t>
      </w:r>
      <w:r>
        <w:rPr>
          <w:rFonts w:hAnsi="宋体" w:hint="eastAsia"/>
          <w:color w:val="000000"/>
          <w:sz w:val="24"/>
        </w:rPr>
        <w:t>；</w:t>
      </w:r>
      <w:r>
        <w:rPr>
          <w:rFonts w:hAnsi="宋体"/>
          <w:color w:val="000000"/>
          <w:sz w:val="24"/>
        </w:rPr>
        <w:t>8</w:t>
      </w:r>
      <w:r>
        <w:rPr>
          <w:rFonts w:hAnsi="宋体"/>
          <w:color w:val="000000"/>
          <w:sz w:val="24"/>
        </w:rPr>
        <w:t>、法律法规和基金合同规定的其他。</w:t>
      </w:r>
    </w:p>
    <w:p w:rsidR="00FA0E5B" w:rsidRDefault="000C3ACE">
      <w:pPr>
        <w:spacing w:line="360" w:lineRule="auto"/>
        <w:ind w:firstLineChars="200" w:firstLine="480"/>
        <w:rPr>
          <w:bCs/>
          <w:sz w:val="24"/>
        </w:rPr>
      </w:pPr>
      <w:r>
        <w:rPr>
          <w:rFonts w:hint="eastAsia"/>
          <w:bCs/>
          <w:sz w:val="24"/>
        </w:rPr>
        <w:t>基金</w:t>
      </w:r>
      <w:r>
        <w:rPr>
          <w:bCs/>
          <w:sz w:val="24"/>
        </w:rPr>
        <w:t>份额持有人的义务包括：</w:t>
      </w:r>
      <w:r w:rsidRPr="00CE2A33">
        <w:rPr>
          <w:bCs/>
          <w:sz w:val="24"/>
        </w:rPr>
        <w:t>1</w:t>
      </w:r>
      <w:r>
        <w:rPr>
          <w:rFonts w:hint="eastAsia"/>
          <w:bCs/>
          <w:sz w:val="24"/>
        </w:rPr>
        <w:t>、</w:t>
      </w:r>
      <w:r w:rsidRPr="00CE2A33">
        <w:rPr>
          <w:rFonts w:hint="eastAsia"/>
          <w:bCs/>
          <w:sz w:val="24"/>
        </w:rPr>
        <w:t>认真阅读并遵守基金合同、招募说明书等信息披露文件；</w:t>
      </w:r>
      <w:r w:rsidRPr="00CE2A33">
        <w:rPr>
          <w:bCs/>
          <w:sz w:val="24"/>
        </w:rPr>
        <w:t>2</w:t>
      </w:r>
      <w:r>
        <w:rPr>
          <w:rFonts w:hint="eastAsia"/>
          <w:bCs/>
          <w:sz w:val="24"/>
        </w:rPr>
        <w:t>、</w:t>
      </w:r>
      <w:r w:rsidRPr="00CE2A33">
        <w:rPr>
          <w:rFonts w:hint="eastAsia"/>
          <w:bCs/>
          <w:sz w:val="24"/>
        </w:rPr>
        <w:t>了解所投资基金产品，了解自身风险承受能力，自主判断基</w:t>
      </w:r>
      <w:r w:rsidRPr="00CE2A33">
        <w:rPr>
          <w:rFonts w:hint="eastAsia"/>
          <w:bCs/>
          <w:sz w:val="24"/>
        </w:rPr>
        <w:lastRenderedPageBreak/>
        <w:t>金的投资价值，自主做出投资决策，自行承担投资风险；</w:t>
      </w:r>
      <w:r w:rsidRPr="00CE2A33">
        <w:rPr>
          <w:bCs/>
          <w:sz w:val="24"/>
        </w:rPr>
        <w:t>3</w:t>
      </w:r>
      <w:r>
        <w:rPr>
          <w:rFonts w:hint="eastAsia"/>
          <w:bCs/>
          <w:sz w:val="24"/>
        </w:rPr>
        <w:t>、</w:t>
      </w:r>
      <w:r w:rsidRPr="00CE2A33">
        <w:rPr>
          <w:rFonts w:hint="eastAsia"/>
          <w:bCs/>
          <w:sz w:val="24"/>
        </w:rPr>
        <w:t>关注基金信息披露，及时行使权利和履行义务；</w:t>
      </w:r>
      <w:r w:rsidRPr="00CE2A33">
        <w:rPr>
          <w:bCs/>
          <w:sz w:val="24"/>
        </w:rPr>
        <w:t>4</w:t>
      </w:r>
      <w:r>
        <w:rPr>
          <w:rFonts w:hint="eastAsia"/>
          <w:bCs/>
          <w:sz w:val="24"/>
        </w:rPr>
        <w:t>、</w:t>
      </w:r>
      <w:r w:rsidRPr="00CE2A33">
        <w:rPr>
          <w:rFonts w:hint="eastAsia"/>
          <w:bCs/>
          <w:sz w:val="24"/>
        </w:rPr>
        <w:t>缴纳基金认购、申购款项及法律法规和基金合同所规定的费用；</w:t>
      </w:r>
      <w:r w:rsidRPr="00CE2A33">
        <w:rPr>
          <w:bCs/>
          <w:sz w:val="24"/>
        </w:rPr>
        <w:t>5</w:t>
      </w:r>
      <w:r>
        <w:rPr>
          <w:rFonts w:hint="eastAsia"/>
          <w:bCs/>
          <w:sz w:val="24"/>
        </w:rPr>
        <w:t>、</w:t>
      </w:r>
      <w:r w:rsidRPr="00CE2A33">
        <w:rPr>
          <w:rFonts w:hint="eastAsia"/>
          <w:bCs/>
          <w:sz w:val="24"/>
        </w:rPr>
        <w:t>在其持有的基金份额范围内，承担基金亏损或者基金合同终止的有限责任；</w:t>
      </w:r>
      <w:r w:rsidRPr="00CE2A33">
        <w:rPr>
          <w:bCs/>
          <w:sz w:val="24"/>
        </w:rPr>
        <w:t>6</w:t>
      </w:r>
      <w:r>
        <w:rPr>
          <w:rFonts w:hint="eastAsia"/>
          <w:bCs/>
          <w:sz w:val="24"/>
        </w:rPr>
        <w:t>、</w:t>
      </w:r>
      <w:r w:rsidRPr="00CE2A33">
        <w:rPr>
          <w:rFonts w:hint="eastAsia"/>
          <w:bCs/>
          <w:sz w:val="24"/>
        </w:rPr>
        <w:t>不从事任何有损基金及其他基金合同当事人合法权益的活动；</w:t>
      </w:r>
      <w:r w:rsidRPr="00CE2A33">
        <w:rPr>
          <w:bCs/>
          <w:sz w:val="24"/>
        </w:rPr>
        <w:t>7</w:t>
      </w:r>
      <w:r>
        <w:rPr>
          <w:rFonts w:hint="eastAsia"/>
          <w:bCs/>
          <w:sz w:val="24"/>
        </w:rPr>
        <w:t>、</w:t>
      </w:r>
      <w:r w:rsidRPr="00CE2A33">
        <w:rPr>
          <w:rFonts w:hint="eastAsia"/>
          <w:bCs/>
          <w:sz w:val="24"/>
        </w:rPr>
        <w:t>执行生效的基金份额持有人大会的决议；</w:t>
      </w:r>
      <w:r w:rsidRPr="00CE2A33">
        <w:rPr>
          <w:bCs/>
          <w:sz w:val="24"/>
        </w:rPr>
        <w:t>8</w:t>
      </w:r>
      <w:r>
        <w:rPr>
          <w:rFonts w:hint="eastAsia"/>
          <w:bCs/>
          <w:sz w:val="24"/>
        </w:rPr>
        <w:t>、</w:t>
      </w:r>
      <w:r w:rsidRPr="00CE2A33">
        <w:rPr>
          <w:rFonts w:hint="eastAsia"/>
          <w:bCs/>
          <w:sz w:val="24"/>
        </w:rPr>
        <w:t>返还在基金交易过程中因任何原因获得的不当得利；</w:t>
      </w:r>
      <w:r w:rsidRPr="00CE2A33">
        <w:rPr>
          <w:bCs/>
          <w:sz w:val="24"/>
        </w:rPr>
        <w:t>9</w:t>
      </w:r>
      <w:r>
        <w:rPr>
          <w:rFonts w:hint="eastAsia"/>
          <w:bCs/>
          <w:sz w:val="24"/>
        </w:rPr>
        <w:t>、</w:t>
      </w:r>
      <w:r w:rsidRPr="00CE2A33">
        <w:rPr>
          <w:rFonts w:hint="eastAsia"/>
          <w:bCs/>
          <w:sz w:val="24"/>
        </w:rPr>
        <w:t>发起资金提供方持有认购的基金份额自本基金合同生效之日起不少于</w:t>
      </w:r>
      <w:r w:rsidRPr="00CE2A33">
        <w:rPr>
          <w:bCs/>
          <w:sz w:val="24"/>
        </w:rPr>
        <w:t>3</w:t>
      </w:r>
      <w:r w:rsidRPr="00CE2A33">
        <w:rPr>
          <w:rFonts w:hint="eastAsia"/>
          <w:bCs/>
          <w:sz w:val="24"/>
        </w:rPr>
        <w:t>年；</w:t>
      </w:r>
      <w:r w:rsidRPr="00CE2A33">
        <w:rPr>
          <w:bCs/>
          <w:sz w:val="24"/>
        </w:rPr>
        <w:t>10</w:t>
      </w:r>
      <w:r>
        <w:rPr>
          <w:rFonts w:hint="eastAsia"/>
          <w:bCs/>
          <w:sz w:val="24"/>
        </w:rPr>
        <w:t>、</w:t>
      </w:r>
      <w:r w:rsidRPr="00CE2A33">
        <w:rPr>
          <w:rFonts w:hint="eastAsia"/>
          <w:bCs/>
          <w:sz w:val="24"/>
        </w:rPr>
        <w:t>法律法规及中国证监会规定的和基金合同约定的其他义务。</w:t>
      </w:r>
    </w:p>
    <w:p w:rsidR="00FA0E5B" w:rsidRDefault="000C3ACE">
      <w:pPr>
        <w:spacing w:line="360" w:lineRule="auto"/>
        <w:ind w:firstLineChars="200" w:firstLine="480"/>
        <w:jc w:val="left"/>
        <w:rPr>
          <w:bCs/>
          <w:sz w:val="24"/>
        </w:rPr>
      </w:pPr>
      <w:r>
        <w:rPr>
          <w:rFonts w:hint="eastAsia"/>
          <w:bCs/>
          <w:sz w:val="24"/>
        </w:rPr>
        <w:t>其他基金合同</w:t>
      </w:r>
      <w:r>
        <w:rPr>
          <w:bCs/>
          <w:sz w:val="24"/>
        </w:rPr>
        <w:t>当事人的权利义务详见基金合同</w:t>
      </w:r>
      <w:r>
        <w:rPr>
          <w:bCs/>
          <w:sz w:val="24"/>
        </w:rPr>
        <w:t>“</w:t>
      </w:r>
      <w:r>
        <w:rPr>
          <w:rFonts w:hint="eastAsia"/>
          <w:bCs/>
          <w:sz w:val="24"/>
        </w:rPr>
        <w:t>第八</w:t>
      </w:r>
      <w:r>
        <w:rPr>
          <w:bCs/>
          <w:sz w:val="24"/>
        </w:rPr>
        <w:t>部分</w:t>
      </w:r>
      <w:r>
        <w:rPr>
          <w:rFonts w:hint="eastAsia"/>
          <w:bCs/>
          <w:sz w:val="24"/>
        </w:rPr>
        <w:t xml:space="preserve"> </w:t>
      </w:r>
      <w:r>
        <w:rPr>
          <w:rFonts w:hint="eastAsia"/>
          <w:bCs/>
          <w:sz w:val="24"/>
        </w:rPr>
        <w:t>基金</w:t>
      </w:r>
      <w:r>
        <w:rPr>
          <w:bCs/>
          <w:sz w:val="24"/>
        </w:rPr>
        <w:t>合同当事人</w:t>
      </w:r>
      <w:r>
        <w:rPr>
          <w:rFonts w:hint="eastAsia"/>
          <w:bCs/>
          <w:sz w:val="24"/>
        </w:rPr>
        <w:t>及权利义务</w:t>
      </w:r>
      <w:r>
        <w:rPr>
          <w:bCs/>
          <w:sz w:val="24"/>
        </w:rPr>
        <w:t>”</w:t>
      </w:r>
      <w:r>
        <w:rPr>
          <w:rFonts w:hint="eastAsia"/>
          <w:bCs/>
          <w:sz w:val="24"/>
        </w:rPr>
        <w:t>章节</w:t>
      </w:r>
      <w:r>
        <w:rPr>
          <w:bCs/>
          <w:sz w:val="24"/>
        </w:rPr>
        <w:t>。</w:t>
      </w:r>
    </w:p>
    <w:p w:rsidR="00A05717" w:rsidRDefault="000C3ACE">
      <w:pPr>
        <w:spacing w:line="360" w:lineRule="auto"/>
        <w:ind w:firstLineChars="200" w:firstLine="480"/>
        <w:rPr>
          <w:bCs/>
          <w:sz w:val="24"/>
        </w:rPr>
      </w:pPr>
      <w:r>
        <w:rPr>
          <w:rFonts w:hAnsi="宋体"/>
          <w:color w:val="000000"/>
          <w:sz w:val="24"/>
        </w:rPr>
        <w:t>（</w:t>
      </w:r>
      <w:r>
        <w:rPr>
          <w:rFonts w:hAnsi="宋体" w:hint="eastAsia"/>
          <w:color w:val="000000"/>
          <w:sz w:val="24"/>
        </w:rPr>
        <w:t>七</w:t>
      </w:r>
      <w:r>
        <w:rPr>
          <w:rFonts w:hAnsi="宋体"/>
          <w:color w:val="000000"/>
          <w:sz w:val="24"/>
        </w:rPr>
        <w:t>）</w:t>
      </w:r>
      <w:r w:rsidRPr="001B242C">
        <w:rPr>
          <w:rFonts w:hint="eastAsia"/>
          <w:bCs/>
          <w:color w:val="000000" w:themeColor="text1"/>
          <w:sz w:val="24"/>
        </w:rPr>
        <w:t>基金</w:t>
      </w:r>
      <w:r>
        <w:rPr>
          <w:rFonts w:hint="eastAsia"/>
          <w:bCs/>
          <w:color w:val="000000" w:themeColor="text1"/>
          <w:sz w:val="24"/>
        </w:rPr>
        <w:t>合同生效</w:t>
      </w:r>
      <w:r w:rsidRPr="001B242C">
        <w:rPr>
          <w:rFonts w:hint="eastAsia"/>
          <w:bCs/>
          <w:color w:val="000000" w:themeColor="text1"/>
          <w:sz w:val="24"/>
        </w:rPr>
        <w:t>后，开始办理份额申赎前，至少每周披露净值；开始办理份额申赎后，每个</w:t>
      </w:r>
      <w:r>
        <w:rPr>
          <w:rFonts w:hint="eastAsia"/>
          <w:bCs/>
          <w:color w:val="000000" w:themeColor="text1"/>
          <w:sz w:val="24"/>
        </w:rPr>
        <w:t>交易</w:t>
      </w:r>
      <w:r w:rsidRPr="001B242C">
        <w:rPr>
          <w:rFonts w:hint="eastAsia"/>
          <w:bCs/>
          <w:color w:val="000000" w:themeColor="text1"/>
          <w:sz w:val="24"/>
        </w:rPr>
        <w:t>日次日披露净值</w:t>
      </w:r>
      <w:r>
        <w:rPr>
          <w:rFonts w:hAnsi="宋体"/>
          <w:color w:val="000000"/>
          <w:sz w:val="24"/>
        </w:rPr>
        <w:t>；</w:t>
      </w:r>
      <w:r w:rsidR="00A05717">
        <w:rPr>
          <w:rFonts w:hint="eastAsia"/>
          <w:bCs/>
          <w:color w:val="000000" w:themeColor="text1"/>
          <w:sz w:val="24"/>
        </w:rPr>
        <w:t>在</w:t>
      </w:r>
      <w:r w:rsidR="00A05717" w:rsidRPr="00567D50">
        <w:rPr>
          <w:rFonts w:hint="eastAsia"/>
          <w:bCs/>
          <w:color w:val="000000" w:themeColor="text1"/>
          <w:sz w:val="24"/>
        </w:rPr>
        <w:t>每年结束之日起</w:t>
      </w:r>
      <w:r w:rsidR="00A05717">
        <w:rPr>
          <w:rFonts w:hint="eastAsia"/>
          <w:bCs/>
          <w:sz w:val="24"/>
        </w:rPr>
        <w:t>三个月内，披露年报；</w:t>
      </w:r>
      <w:r w:rsidR="00A05717" w:rsidRPr="00567D50">
        <w:rPr>
          <w:rFonts w:hint="eastAsia"/>
          <w:bCs/>
          <w:color w:val="000000" w:themeColor="text1"/>
          <w:sz w:val="24"/>
        </w:rPr>
        <w:t>在上半年结束之日起</w:t>
      </w:r>
      <w:r w:rsidR="00A05717">
        <w:rPr>
          <w:rFonts w:hint="eastAsia"/>
          <w:bCs/>
          <w:sz w:val="24"/>
        </w:rPr>
        <w:t>两个月内，披露中期报告；</w:t>
      </w:r>
      <w:r w:rsidR="00A05717" w:rsidRPr="00C059AC">
        <w:rPr>
          <w:bCs/>
          <w:color w:val="000000" w:themeColor="text1"/>
          <w:sz w:val="24"/>
        </w:rPr>
        <w:t>在季度结束之日起</w:t>
      </w:r>
      <w:r w:rsidR="00A05717">
        <w:rPr>
          <w:rFonts w:hint="eastAsia"/>
          <w:bCs/>
          <w:sz w:val="24"/>
        </w:rPr>
        <w:t>十五个工作日内，披露季报</w:t>
      </w:r>
      <w:r>
        <w:rPr>
          <w:rFonts w:hint="eastAsia"/>
          <w:bCs/>
          <w:sz w:val="24"/>
        </w:rPr>
        <w:t>。</w:t>
      </w:r>
    </w:p>
    <w:p w:rsidR="00FA0E5B" w:rsidRDefault="000C3ACE">
      <w:pPr>
        <w:spacing w:line="360" w:lineRule="auto"/>
        <w:ind w:firstLineChars="200" w:firstLine="480"/>
        <w:rPr>
          <w:rFonts w:hAnsi="宋体"/>
          <w:color w:val="000000"/>
          <w:sz w:val="24"/>
        </w:rPr>
      </w:pPr>
      <w:r>
        <w:rPr>
          <w:rFonts w:hAnsi="宋体"/>
          <w:color w:val="000000"/>
          <w:sz w:val="24"/>
        </w:rPr>
        <w:t>您可以登陆公司网站（</w:t>
      </w:r>
      <w:r>
        <w:rPr>
          <w:rFonts w:hAnsi="宋体"/>
          <w:color w:val="000000"/>
          <w:sz w:val="24"/>
        </w:rPr>
        <w:t>www.ctfund.com</w:t>
      </w:r>
      <w:r>
        <w:rPr>
          <w:rFonts w:hAnsi="宋体"/>
          <w:color w:val="000000"/>
          <w:sz w:val="24"/>
        </w:rPr>
        <w:t>）或查阅</w:t>
      </w:r>
      <w:r w:rsidR="00D92FDE">
        <w:rPr>
          <w:rFonts w:hAnsi="宋体" w:hint="eastAsia"/>
          <w:color w:val="000000"/>
          <w:sz w:val="24"/>
        </w:rPr>
        <w:t>《</w:t>
      </w:r>
      <w:r w:rsidR="00D92FDE" w:rsidRPr="00CE2A33">
        <w:rPr>
          <w:rFonts w:hAnsi="宋体" w:hint="eastAsia"/>
          <w:color w:val="000000"/>
          <w:sz w:val="24"/>
        </w:rPr>
        <w:t>证券时报</w:t>
      </w:r>
      <w:r w:rsidR="00D92FDE">
        <w:rPr>
          <w:rFonts w:hAnsi="宋体" w:hint="eastAsia"/>
          <w:color w:val="000000"/>
          <w:sz w:val="24"/>
        </w:rPr>
        <w:t>》</w:t>
      </w:r>
      <w:r>
        <w:rPr>
          <w:rFonts w:hAnsi="宋体"/>
          <w:color w:val="000000"/>
          <w:sz w:val="24"/>
        </w:rPr>
        <w:t>查询有关信息和其它临时公告。</w:t>
      </w:r>
    </w:p>
    <w:p w:rsidR="00FA0E5B" w:rsidRDefault="000C3ACE">
      <w:pPr>
        <w:spacing w:line="360" w:lineRule="auto"/>
        <w:ind w:firstLineChars="200" w:firstLine="480"/>
        <w:rPr>
          <w:rFonts w:hAnsi="宋体"/>
          <w:color w:val="000000"/>
          <w:sz w:val="24"/>
        </w:rPr>
      </w:pPr>
      <w:r>
        <w:rPr>
          <w:rFonts w:hAnsi="宋体"/>
          <w:color w:val="000000"/>
          <w:sz w:val="24"/>
        </w:rPr>
        <w:t>（</w:t>
      </w:r>
      <w:r>
        <w:rPr>
          <w:rFonts w:hAnsi="宋体" w:hint="eastAsia"/>
          <w:color w:val="000000"/>
          <w:sz w:val="24"/>
        </w:rPr>
        <w:t>八</w:t>
      </w:r>
      <w:r>
        <w:rPr>
          <w:rFonts w:hAnsi="宋体"/>
          <w:color w:val="000000"/>
          <w:sz w:val="24"/>
        </w:rPr>
        <w:t>）您通过柜台直销投资的，享有</w:t>
      </w:r>
      <w:r>
        <w:rPr>
          <w:rFonts w:hAnsi="宋体"/>
          <w:color w:val="000000"/>
          <w:sz w:val="24"/>
        </w:rPr>
        <w:t>3</w:t>
      </w:r>
      <w:r>
        <w:rPr>
          <w:rFonts w:hAnsi="宋体"/>
          <w:color w:val="000000"/>
          <w:sz w:val="24"/>
        </w:rPr>
        <w:t>分钟冷静期；您通过线上直销投资的，享有</w:t>
      </w:r>
      <w:r>
        <w:rPr>
          <w:rFonts w:hAnsi="宋体"/>
          <w:color w:val="000000"/>
          <w:sz w:val="24"/>
        </w:rPr>
        <w:t>10</w:t>
      </w:r>
      <w:r>
        <w:rPr>
          <w:rFonts w:hAnsi="宋体"/>
          <w:color w:val="000000"/>
          <w:sz w:val="24"/>
        </w:rPr>
        <w:t>秒钟冷静期。交易确认后，公司将抽取一定比例客户进行回访；普通投资者（机构）通过传真交易方式投资的，至少回访两次。</w:t>
      </w:r>
    </w:p>
    <w:p w:rsidR="00FA0E5B" w:rsidRDefault="000C3ACE">
      <w:pPr>
        <w:spacing w:line="360" w:lineRule="auto"/>
        <w:ind w:firstLineChars="200" w:firstLine="480"/>
        <w:rPr>
          <w:rFonts w:hAnsi="宋体"/>
          <w:color w:val="000000"/>
          <w:sz w:val="24"/>
        </w:rPr>
      </w:pPr>
      <w:r>
        <w:rPr>
          <w:rFonts w:hAnsi="宋体"/>
          <w:color w:val="000000"/>
          <w:sz w:val="24"/>
        </w:rPr>
        <w:t>（</w:t>
      </w:r>
      <w:r>
        <w:rPr>
          <w:rFonts w:hAnsi="宋体" w:hint="eastAsia"/>
          <w:color w:val="000000"/>
          <w:sz w:val="24"/>
        </w:rPr>
        <w:t>九</w:t>
      </w:r>
      <w:r>
        <w:rPr>
          <w:rFonts w:hAnsi="宋体"/>
          <w:color w:val="000000"/>
          <w:sz w:val="24"/>
        </w:rPr>
        <w:t>）您可通过客服电话（</w:t>
      </w:r>
      <w:r>
        <w:rPr>
          <w:rFonts w:hAnsi="宋体"/>
          <w:color w:val="000000"/>
          <w:sz w:val="24"/>
        </w:rPr>
        <w:t>400-820-9888</w:t>
      </w:r>
      <w:r>
        <w:rPr>
          <w:rFonts w:hAnsi="宋体"/>
          <w:color w:val="000000"/>
          <w:sz w:val="24"/>
        </w:rPr>
        <w:t>）或电子邮件（</w:t>
      </w:r>
      <w:hyperlink r:id="rId9" w:history="1">
        <w:r>
          <w:rPr>
            <w:rFonts w:hAnsi="宋体"/>
            <w:color w:val="000000"/>
            <w:sz w:val="24"/>
          </w:rPr>
          <w:t>service@ctfund.com</w:t>
        </w:r>
      </w:hyperlink>
      <w:r>
        <w:rPr>
          <w:rFonts w:hAnsi="宋体"/>
          <w:color w:val="000000"/>
          <w:sz w:val="24"/>
        </w:rPr>
        <w:t>）进行投诉；亦可向中国国际经济贸易仲裁委员会提起仲裁。</w:t>
      </w:r>
    </w:p>
    <w:p w:rsidR="00FA0E5B" w:rsidRDefault="000C3ACE">
      <w:pPr>
        <w:spacing w:line="360" w:lineRule="auto"/>
        <w:ind w:firstLineChars="200" w:firstLine="480"/>
        <w:jc w:val="left"/>
        <w:rPr>
          <w:rFonts w:ascii="Arial" w:hAnsi="Arial" w:cs="Arial"/>
          <w:color w:val="000000"/>
          <w:sz w:val="24"/>
        </w:rPr>
      </w:pPr>
      <w:bookmarkStart w:id="0" w:name="_Hlt88825574"/>
      <w:bookmarkEnd w:id="0"/>
      <w:r>
        <w:rPr>
          <w:rFonts w:ascii="Arial" w:hAnsi="Arial" w:cs="Arial" w:hint="eastAsia"/>
          <w:color w:val="000000"/>
          <w:sz w:val="24"/>
        </w:rPr>
        <w:t>本</w:t>
      </w:r>
      <w:r w:rsidRPr="00CE2A33">
        <w:rPr>
          <w:rFonts w:hAnsi="宋体" w:hint="eastAsia"/>
          <w:color w:val="000000"/>
          <w:sz w:val="24"/>
        </w:rPr>
        <w:t>基金由财通基金管理有限公司依照有关法律法规及约定申请募集，并经中国证监会许可注册。本基金的基金合同、基金招募说明书和基金产品资料概要已通过中国证监会基金电子披露网站【</w:t>
      </w:r>
      <w:hyperlink r:id="rId10" w:history="1">
        <w:r w:rsidRPr="00CE2A33">
          <w:rPr>
            <w:rFonts w:hAnsi="宋体"/>
            <w:color w:val="000000"/>
            <w:sz w:val="24"/>
          </w:rPr>
          <w:t>http://eid.csrc.gov.cn/fund</w:t>
        </w:r>
      </w:hyperlink>
      <w:r w:rsidRPr="00CE2A33">
        <w:rPr>
          <w:rFonts w:hAnsi="宋体" w:hint="eastAsia"/>
          <w:color w:val="000000"/>
          <w:sz w:val="24"/>
        </w:rPr>
        <w:t>】和基金管理人网站【</w:t>
      </w:r>
      <w:r w:rsidRPr="00CE2A33">
        <w:rPr>
          <w:rFonts w:hAnsi="宋体"/>
          <w:color w:val="000000"/>
          <w:sz w:val="24"/>
        </w:rPr>
        <w:t>www.ctfund.com</w:t>
      </w:r>
      <w:r w:rsidRPr="00CE2A33">
        <w:rPr>
          <w:rFonts w:hAnsi="宋体" w:hint="eastAsia"/>
          <w:color w:val="000000"/>
          <w:sz w:val="24"/>
        </w:rPr>
        <w:t>】进行了公开披露。中国证监会对本基金的注册，并不表明其对本基金的投资价值、市场前景和收益作出实质性判断或保证，也不表明投资于本基金没有风险。</w:t>
      </w:r>
    </w:p>
    <w:p w:rsidR="002414CA" w:rsidRDefault="000C3ACE">
      <w:pPr>
        <w:spacing w:line="360" w:lineRule="auto"/>
        <w:ind w:firstLineChars="200" w:firstLine="482"/>
        <w:jc w:val="left"/>
        <w:rPr>
          <w:rFonts w:ascii="Arial" w:hAnsi="Arial" w:cs="Arial"/>
          <w:color w:val="000000"/>
          <w:sz w:val="24"/>
        </w:rPr>
      </w:pPr>
      <w:r>
        <w:rPr>
          <w:rFonts w:ascii="Arial" w:hAnsi="Arial" w:cs="Arial" w:hint="eastAsia"/>
          <w:b/>
          <w:color w:val="000000"/>
          <w:sz w:val="24"/>
          <w:u w:val="double"/>
        </w:rPr>
        <w:t>请投资者在投资前认真阅读本风险揭示书</w:t>
      </w:r>
      <w:r>
        <w:rPr>
          <w:rFonts w:ascii="Arial" w:hAnsi="Arial" w:cs="Arial" w:hint="eastAsia"/>
          <w:color w:val="000000"/>
          <w:sz w:val="24"/>
        </w:rPr>
        <w:t>，</w:t>
      </w:r>
      <w:r>
        <w:rPr>
          <w:rFonts w:ascii="Arial" w:hAnsi="Arial" w:cs="Arial" w:hint="eastAsia"/>
          <w:b/>
          <w:color w:val="000000"/>
          <w:sz w:val="24"/>
          <w:u w:val="double"/>
        </w:rPr>
        <w:t>并请在本风险揭示书后签署确认</w:t>
      </w:r>
      <w:r>
        <w:rPr>
          <w:rFonts w:ascii="Arial" w:hAnsi="Arial" w:cs="Arial" w:hint="eastAsia"/>
          <w:color w:val="000000"/>
          <w:sz w:val="24"/>
        </w:rPr>
        <w:t>。</w:t>
      </w:r>
    </w:p>
    <w:bookmarkStart w:id="1" w:name="_GoBack"/>
    <w:p w:rsidR="00FA0E5B" w:rsidRDefault="000C3ACE" w:rsidP="00F51775">
      <w:pPr>
        <w:spacing w:line="360" w:lineRule="auto"/>
        <w:ind w:firstLineChars="200" w:firstLine="480"/>
        <w:jc w:val="left"/>
        <w:rPr>
          <w:rFonts w:ascii="Arial" w:hAnsi="Arial" w:cs="Arial"/>
          <w:color w:val="000000"/>
          <w:sz w:val="24"/>
        </w:rPr>
      </w:pPr>
      <w:r>
        <w:rPr>
          <w:rFonts w:ascii="华文细黑" w:eastAsia="华文细黑" w:hAnsi="华文细黑" w:cs="Arial"/>
          <w:noProof/>
          <w:color w:val="000000"/>
          <w:sz w:val="24"/>
        </w:rPr>
        <w:lastRenderedPageBreak/>
        <mc:AlternateContent>
          <mc:Choice Requires="wps">
            <w:drawing>
              <wp:anchor distT="0" distB="0" distL="114300" distR="114300" simplePos="0" relativeHeight="251660288" behindDoc="0" locked="0" layoutInCell="1" allowOverlap="1">
                <wp:simplePos x="0" y="0"/>
                <wp:positionH relativeFrom="column">
                  <wp:posOffset>26035</wp:posOffset>
                </wp:positionH>
                <wp:positionV relativeFrom="paragraph">
                  <wp:posOffset>27305</wp:posOffset>
                </wp:positionV>
                <wp:extent cx="5303520" cy="8255"/>
                <wp:effectExtent l="16510" t="8255" r="13970" b="1206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03520" cy="8255"/>
                        </a:xfrm>
                        <a:prstGeom prst="straightConnector1">
                          <a:avLst/>
                        </a:prstGeom>
                        <a:noFill/>
                        <a:ln w="15875">
                          <a:solidFill>
                            <a:srgbClr val="000000"/>
                          </a:solidFill>
                          <a:prstDash val="dash"/>
                          <a:round/>
                        </a:ln>
                      </wps:spPr>
                      <wps:bodyPr/>
                    </wps:wsp>
                  </a:graphicData>
                </a:graphic>
              </wp:anchor>
            </w:drawing>
          </mc:Choice>
          <mc:Fallback xmlns:wpsCustomData="http://www.wps.cn/officeDocument/2013/wpsCustomData">
            <w:pict>
              <v:shape id="AutoShape 8" o:spid="_x0000_s1026" o:spt="32" type="#_x0000_t32" style="position:absolute;left:0pt;flip:y;margin-left:2.05pt;margin-top:2.15pt;height:0.65pt;width:417.6pt;z-index:251660288;mso-width-relative:page;mso-height-relative:page;" filled="f" stroked="t" coordsize="21600,21600" o:gfxdata="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QbOrj1AAA&#10;AAUBAAAPAAAAAAAAAAEAIAAAACIAAABkcnMvZG93bnJldi54bWxQSwECFAAUAAAACACHTuJAyL0g&#10;oOkBAADYAwAADgAAAAAAAAABACAAAAAjAQAAZHJzL2Uyb0RvYy54bWxQSwUGAAAAAAYABgBZAQAA&#10;fgUAAAAA&#10;">
                <v:fill on="f" focussize="0,0"/>
                <v:stroke weight="1.25pt" color="#000000" joinstyle="round" dashstyle="dash"/>
                <v:imagedata o:title=""/>
                <o:lock v:ext="edit" aspectratio="f"/>
              </v:shape>
            </w:pict>
          </mc:Fallback>
        </mc:AlternateContent>
      </w:r>
      <w:r>
        <w:rPr>
          <w:rFonts w:ascii="Arial" w:hAnsi="Arial" w:cs="Arial" w:hint="eastAsia"/>
          <w:color w:val="000000"/>
          <w:sz w:val="24"/>
        </w:rPr>
        <w:t>（以下无正文）</w:t>
      </w:r>
    </w:p>
    <w:bookmarkEnd w:id="1"/>
    <w:p w:rsidR="00FA0E5B" w:rsidRDefault="00FA0E5B">
      <w:pPr>
        <w:spacing w:line="360" w:lineRule="auto"/>
        <w:ind w:firstLineChars="200" w:firstLine="480"/>
        <w:jc w:val="left"/>
        <w:outlineLvl w:val="0"/>
        <w:rPr>
          <w:color w:val="000000"/>
          <w:sz w:val="24"/>
          <w:u w:val="single"/>
        </w:rPr>
      </w:pPr>
    </w:p>
    <w:p w:rsidR="00FA0E5B" w:rsidRDefault="00FA0E5B">
      <w:pPr>
        <w:spacing w:line="360" w:lineRule="auto"/>
        <w:ind w:firstLineChars="200" w:firstLine="480"/>
        <w:jc w:val="left"/>
        <w:outlineLvl w:val="0"/>
        <w:rPr>
          <w:color w:val="000000"/>
          <w:sz w:val="24"/>
          <w:u w:val="single"/>
        </w:rPr>
      </w:pPr>
    </w:p>
    <w:p w:rsidR="00FA0E5B" w:rsidRDefault="000C3ACE">
      <w:pPr>
        <w:spacing w:line="360" w:lineRule="auto"/>
        <w:ind w:firstLineChars="200" w:firstLine="480"/>
        <w:jc w:val="left"/>
        <w:outlineLvl w:val="0"/>
        <w:rPr>
          <w:color w:val="000000"/>
          <w:sz w:val="24"/>
          <w:u w:val="single"/>
        </w:rPr>
      </w:pPr>
      <w:r>
        <w:rPr>
          <w:rFonts w:hint="eastAsia"/>
          <w:color w:val="000000"/>
          <w:sz w:val="24"/>
          <w:u w:val="single"/>
        </w:rPr>
        <w:t>以上《风险揭示书》的各项内容，本人</w:t>
      </w:r>
      <w:r>
        <w:rPr>
          <w:color w:val="000000"/>
          <w:sz w:val="24"/>
          <w:u w:val="single"/>
        </w:rPr>
        <w:t>/</w:t>
      </w:r>
      <w:r>
        <w:rPr>
          <w:rFonts w:hint="eastAsia"/>
          <w:color w:val="000000"/>
          <w:sz w:val="24"/>
          <w:u w:val="single"/>
        </w:rPr>
        <w:t>单位已阅读并完全理解。</w:t>
      </w:r>
    </w:p>
    <w:p w:rsidR="00FA0E5B" w:rsidRDefault="000C3ACE">
      <w:pPr>
        <w:adjustRightInd w:val="0"/>
        <w:snapToGrid w:val="0"/>
        <w:spacing w:before="100" w:beforeAutospacing="1" w:after="100" w:afterAutospacing="1" w:line="560" w:lineRule="exact"/>
        <w:ind w:firstLineChars="243" w:firstLine="585"/>
        <w:rPr>
          <w:b/>
          <w:color w:val="000000" w:themeColor="text1"/>
          <w:sz w:val="24"/>
        </w:rPr>
      </w:pPr>
      <w:r>
        <w:rPr>
          <w:rFonts w:hint="eastAsia"/>
          <w:b/>
          <w:color w:val="000000" w:themeColor="text1"/>
          <w:sz w:val="24"/>
        </w:rPr>
        <w:t>抄录：以上《风险揭示书》的各项内容，本人</w:t>
      </w:r>
      <w:r>
        <w:rPr>
          <w:b/>
          <w:color w:val="000000" w:themeColor="text1"/>
          <w:sz w:val="24"/>
        </w:rPr>
        <w:t>/</w:t>
      </w:r>
      <w:r>
        <w:rPr>
          <w:rFonts w:hint="eastAsia"/>
          <w:b/>
          <w:color w:val="000000" w:themeColor="text1"/>
          <w:sz w:val="24"/>
        </w:rPr>
        <w:t>单位已</w:t>
      </w:r>
      <w:r>
        <w:rPr>
          <w:rFonts w:ascii="宋体" w:hAnsi="宋体" w:hint="eastAsia"/>
          <w:b/>
          <w:color w:val="000000" w:themeColor="text1"/>
          <w:sz w:val="28"/>
        </w:rPr>
        <w:t>□□</w:t>
      </w:r>
      <w:r>
        <w:rPr>
          <w:rFonts w:hint="eastAsia"/>
          <w:b/>
          <w:color w:val="000000" w:themeColor="text1"/>
          <w:sz w:val="24"/>
        </w:rPr>
        <w:t>并</w:t>
      </w:r>
      <w:r>
        <w:rPr>
          <w:rFonts w:ascii="宋体" w:hAnsi="宋体" w:hint="eastAsia"/>
          <w:b/>
          <w:color w:val="000000" w:themeColor="text1"/>
          <w:sz w:val="28"/>
        </w:rPr>
        <w:t>□□□□</w:t>
      </w:r>
      <w:r>
        <w:rPr>
          <w:rFonts w:hint="eastAsia"/>
          <w:b/>
          <w:color w:val="000000" w:themeColor="text1"/>
          <w:sz w:val="24"/>
        </w:rPr>
        <w:t>。</w:t>
      </w:r>
    </w:p>
    <w:p w:rsidR="00FA0E5B" w:rsidRDefault="000C3ACE">
      <w:pPr>
        <w:adjustRightInd w:val="0"/>
        <w:snapToGrid w:val="0"/>
        <w:spacing w:before="100" w:beforeAutospacing="1" w:after="100" w:afterAutospacing="1" w:line="560" w:lineRule="exact"/>
        <w:ind w:firstLine="480"/>
        <w:rPr>
          <w:color w:val="000000" w:themeColor="text1"/>
          <w:sz w:val="24"/>
        </w:rPr>
      </w:pPr>
      <w:r>
        <w:rPr>
          <w:rFonts w:hint="eastAsia"/>
          <w:color w:val="000000" w:themeColor="text1"/>
          <w:sz w:val="24"/>
        </w:rPr>
        <w:t>（请基金投资人</w:t>
      </w:r>
      <w:r>
        <w:rPr>
          <w:color w:val="000000" w:themeColor="text1"/>
          <w:sz w:val="24"/>
        </w:rPr>
        <w:t>/</w:t>
      </w:r>
      <w:r>
        <w:rPr>
          <w:rFonts w:hint="eastAsia"/>
          <w:color w:val="000000" w:themeColor="text1"/>
          <w:sz w:val="24"/>
        </w:rPr>
        <w:t>被授权人认真阅读后抄录）</w:t>
      </w:r>
    </w:p>
    <w:p w:rsidR="00FA0E5B" w:rsidRDefault="000C3ACE">
      <w:pPr>
        <w:adjustRightInd w:val="0"/>
        <w:snapToGrid w:val="0"/>
        <w:spacing w:before="100" w:beforeAutospacing="1" w:after="100" w:afterAutospacing="1" w:line="560" w:lineRule="exact"/>
        <w:ind w:firstLine="480"/>
        <w:rPr>
          <w:rFonts w:ascii="宋体" w:hAnsi="宋体"/>
          <w:sz w:val="24"/>
        </w:rPr>
      </w:pPr>
      <w:r>
        <w:rPr>
          <w:rFonts w:hint="eastAsia"/>
          <w:color w:val="000000"/>
          <w:sz w:val="24"/>
        </w:rPr>
        <w:t>法人加盖公章</w:t>
      </w:r>
      <w:r>
        <w:rPr>
          <w:color w:val="000000"/>
          <w:sz w:val="24"/>
        </w:rPr>
        <w:t xml:space="preserve">                 </w:t>
      </w:r>
      <w:r>
        <w:rPr>
          <w:rFonts w:hint="eastAsia"/>
          <w:color w:val="000000"/>
          <w:sz w:val="24"/>
        </w:rPr>
        <w:t>自然人</w:t>
      </w:r>
      <w:r>
        <w:rPr>
          <w:color w:val="000000"/>
          <w:sz w:val="24"/>
        </w:rPr>
        <w:t>/</w:t>
      </w:r>
      <w:r>
        <w:rPr>
          <w:rFonts w:hint="eastAsia"/>
          <w:color w:val="000000"/>
          <w:sz w:val="24"/>
        </w:rPr>
        <w:t>法定代表人或被授权人签字</w:t>
      </w:r>
    </w:p>
    <w:p w:rsidR="00FA0E5B" w:rsidRDefault="000C3ACE">
      <w:pPr>
        <w:spacing w:line="360" w:lineRule="auto"/>
        <w:rPr>
          <w:b/>
          <w:sz w:val="24"/>
        </w:rPr>
      </w:pPr>
      <w:r>
        <w:rPr>
          <w:b/>
          <w:noProof/>
          <w:sz w:val="24"/>
        </w:rPr>
        <w:drawing>
          <wp:anchor distT="0" distB="0" distL="114300" distR="114300" simplePos="0" relativeHeight="251659264" behindDoc="0" locked="0" layoutInCell="1" allowOverlap="1">
            <wp:simplePos x="0" y="0"/>
            <wp:positionH relativeFrom="column">
              <wp:posOffset>257175</wp:posOffset>
            </wp:positionH>
            <wp:positionV relativeFrom="paragraph">
              <wp:posOffset>39370</wp:posOffset>
            </wp:positionV>
            <wp:extent cx="1009650" cy="1009650"/>
            <wp:effectExtent l="19050" t="0" r="0" b="0"/>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noChangeArrowheads="1"/>
                    </pic:cNvPicPr>
                  </pic:nvPicPr>
                  <pic:blipFill>
                    <a:blip r:embed="rId11" cstate="print"/>
                    <a:srcRect/>
                    <a:stretch>
                      <a:fillRect/>
                    </a:stretch>
                  </pic:blipFill>
                  <pic:spPr>
                    <a:xfrm>
                      <a:off x="0" y="0"/>
                      <a:ext cx="1009650" cy="1009650"/>
                    </a:xfrm>
                    <a:prstGeom prst="rect">
                      <a:avLst/>
                    </a:prstGeom>
                    <a:noFill/>
                    <a:ln w="9525">
                      <a:noFill/>
                      <a:miter lim="800000"/>
                      <a:headEnd/>
                      <a:tailEnd/>
                    </a:ln>
                  </pic:spPr>
                </pic:pic>
              </a:graphicData>
            </a:graphic>
          </wp:anchor>
        </w:drawing>
      </w:r>
    </w:p>
    <w:sectPr w:rsidR="00FA0E5B">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DB2" w:rsidRDefault="006C1DB2">
      <w:r>
        <w:separator/>
      </w:r>
    </w:p>
  </w:endnote>
  <w:endnote w:type="continuationSeparator" w:id="0">
    <w:p w:rsidR="006C1DB2" w:rsidRDefault="006C1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32501"/>
      <w:docPartObj>
        <w:docPartGallery w:val="AutoText"/>
      </w:docPartObj>
    </w:sdtPr>
    <w:sdtEndPr/>
    <w:sdtContent>
      <w:p w:rsidR="00FA0E5B" w:rsidRDefault="000C3ACE">
        <w:pPr>
          <w:pStyle w:val="a7"/>
          <w:jc w:val="center"/>
        </w:pPr>
        <w:r>
          <w:fldChar w:fldCharType="begin"/>
        </w:r>
        <w:r>
          <w:instrText xml:space="preserve"> PAGE   \* MERGEFORMAT </w:instrText>
        </w:r>
        <w:r>
          <w:fldChar w:fldCharType="separate"/>
        </w:r>
        <w:r w:rsidR="00F51775" w:rsidRPr="00F51775">
          <w:rPr>
            <w:noProof/>
            <w:lang w:val="zh-CN"/>
          </w:rPr>
          <w:t>3</w:t>
        </w:r>
        <w:r>
          <w:rPr>
            <w:lang w:val="zh-CN"/>
          </w:rPr>
          <w:fldChar w:fldCharType="end"/>
        </w:r>
      </w:p>
    </w:sdtContent>
  </w:sdt>
  <w:p w:rsidR="00FA0E5B" w:rsidRDefault="00FA0E5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DB2" w:rsidRDefault="006C1DB2">
      <w:r>
        <w:separator/>
      </w:r>
    </w:p>
  </w:footnote>
  <w:footnote w:type="continuationSeparator" w:id="0">
    <w:p w:rsidR="006C1DB2" w:rsidRDefault="006C1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E5B" w:rsidRDefault="000C3ACE">
    <w:pPr>
      <w:pStyle w:val="a8"/>
    </w:pPr>
    <w:r>
      <w:rPr>
        <w:rFonts w:hint="eastAsia"/>
        <w:bCs/>
        <w:sz w:val="24"/>
      </w:rPr>
      <w:t>财通多策略福瑞混合型发起式证券投资基金（</w:t>
    </w:r>
    <w:r>
      <w:rPr>
        <w:rFonts w:hint="eastAsia"/>
        <w:bCs/>
        <w:sz w:val="24"/>
      </w:rPr>
      <w:t>LOF</w:t>
    </w:r>
    <w:r>
      <w:rPr>
        <w:rFonts w:hint="eastAsia"/>
        <w:bCs/>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C5D"/>
    <w:rsid w:val="00001188"/>
    <w:rsid w:val="000029B2"/>
    <w:rsid w:val="000207B9"/>
    <w:rsid w:val="0002105A"/>
    <w:rsid w:val="00021B52"/>
    <w:rsid w:val="00023072"/>
    <w:rsid w:val="00025198"/>
    <w:rsid w:val="00026AD8"/>
    <w:rsid w:val="0002731B"/>
    <w:rsid w:val="000348B1"/>
    <w:rsid w:val="00035AEA"/>
    <w:rsid w:val="000362A0"/>
    <w:rsid w:val="00040255"/>
    <w:rsid w:val="000450EB"/>
    <w:rsid w:val="00045312"/>
    <w:rsid w:val="000468FE"/>
    <w:rsid w:val="00050036"/>
    <w:rsid w:val="00065663"/>
    <w:rsid w:val="00065853"/>
    <w:rsid w:val="00067EBF"/>
    <w:rsid w:val="0007020C"/>
    <w:rsid w:val="00072CCF"/>
    <w:rsid w:val="000734CD"/>
    <w:rsid w:val="00074749"/>
    <w:rsid w:val="00075027"/>
    <w:rsid w:val="0007515C"/>
    <w:rsid w:val="00075870"/>
    <w:rsid w:val="000779FC"/>
    <w:rsid w:val="00087AAF"/>
    <w:rsid w:val="00090B2B"/>
    <w:rsid w:val="00094D95"/>
    <w:rsid w:val="00094E9B"/>
    <w:rsid w:val="000A5D5B"/>
    <w:rsid w:val="000B732A"/>
    <w:rsid w:val="000C0462"/>
    <w:rsid w:val="000C3ACE"/>
    <w:rsid w:val="000D56B8"/>
    <w:rsid w:val="000E3058"/>
    <w:rsid w:val="000E30CB"/>
    <w:rsid w:val="001016AF"/>
    <w:rsid w:val="00103FB0"/>
    <w:rsid w:val="00113338"/>
    <w:rsid w:val="00116AD4"/>
    <w:rsid w:val="0012578F"/>
    <w:rsid w:val="00130552"/>
    <w:rsid w:val="00130A2B"/>
    <w:rsid w:val="001316F8"/>
    <w:rsid w:val="0013217E"/>
    <w:rsid w:val="001518EE"/>
    <w:rsid w:val="00153334"/>
    <w:rsid w:val="0016015C"/>
    <w:rsid w:val="00165D11"/>
    <w:rsid w:val="0017195B"/>
    <w:rsid w:val="00172A6D"/>
    <w:rsid w:val="00172EED"/>
    <w:rsid w:val="0017311B"/>
    <w:rsid w:val="001800A8"/>
    <w:rsid w:val="00180E66"/>
    <w:rsid w:val="00185273"/>
    <w:rsid w:val="00186CB1"/>
    <w:rsid w:val="00191EF1"/>
    <w:rsid w:val="00193214"/>
    <w:rsid w:val="0019330C"/>
    <w:rsid w:val="001933F8"/>
    <w:rsid w:val="001946E2"/>
    <w:rsid w:val="00196AA4"/>
    <w:rsid w:val="001A1A48"/>
    <w:rsid w:val="001A2512"/>
    <w:rsid w:val="001A4AC8"/>
    <w:rsid w:val="001A71FE"/>
    <w:rsid w:val="001B0B9E"/>
    <w:rsid w:val="001B2977"/>
    <w:rsid w:val="001B7071"/>
    <w:rsid w:val="001C7BCE"/>
    <w:rsid w:val="001D673E"/>
    <w:rsid w:val="001E2F8B"/>
    <w:rsid w:val="001F5C75"/>
    <w:rsid w:val="001F6286"/>
    <w:rsid w:val="0020007D"/>
    <w:rsid w:val="00200398"/>
    <w:rsid w:val="002009DC"/>
    <w:rsid w:val="00203D01"/>
    <w:rsid w:val="0021353C"/>
    <w:rsid w:val="002205EE"/>
    <w:rsid w:val="00224EEE"/>
    <w:rsid w:val="00227649"/>
    <w:rsid w:val="00230A69"/>
    <w:rsid w:val="00231FC3"/>
    <w:rsid w:val="00236E9A"/>
    <w:rsid w:val="002414CA"/>
    <w:rsid w:val="002465A7"/>
    <w:rsid w:val="00256E32"/>
    <w:rsid w:val="002841D5"/>
    <w:rsid w:val="00284CCF"/>
    <w:rsid w:val="002914BE"/>
    <w:rsid w:val="00293057"/>
    <w:rsid w:val="00294874"/>
    <w:rsid w:val="002A1C03"/>
    <w:rsid w:val="002A74B6"/>
    <w:rsid w:val="002B1D3D"/>
    <w:rsid w:val="002B2D83"/>
    <w:rsid w:val="002B37C3"/>
    <w:rsid w:val="002B4E9F"/>
    <w:rsid w:val="002B61E3"/>
    <w:rsid w:val="002C25F1"/>
    <w:rsid w:val="002C2BEF"/>
    <w:rsid w:val="002C43A6"/>
    <w:rsid w:val="002C494D"/>
    <w:rsid w:val="002C532D"/>
    <w:rsid w:val="002C762E"/>
    <w:rsid w:val="002D3004"/>
    <w:rsid w:val="002D6AB6"/>
    <w:rsid w:val="002E080D"/>
    <w:rsid w:val="002E7394"/>
    <w:rsid w:val="002F2518"/>
    <w:rsid w:val="003029A8"/>
    <w:rsid w:val="0030350F"/>
    <w:rsid w:val="003147E4"/>
    <w:rsid w:val="00321BC4"/>
    <w:rsid w:val="00325DB4"/>
    <w:rsid w:val="00332CDE"/>
    <w:rsid w:val="003334A9"/>
    <w:rsid w:val="00341706"/>
    <w:rsid w:val="003439AE"/>
    <w:rsid w:val="0034409C"/>
    <w:rsid w:val="0035118E"/>
    <w:rsid w:val="00353A28"/>
    <w:rsid w:val="00363980"/>
    <w:rsid w:val="0036444E"/>
    <w:rsid w:val="00371197"/>
    <w:rsid w:val="00382FE7"/>
    <w:rsid w:val="00390E6B"/>
    <w:rsid w:val="00393F62"/>
    <w:rsid w:val="00394C09"/>
    <w:rsid w:val="00394D56"/>
    <w:rsid w:val="003A2F3D"/>
    <w:rsid w:val="003A30CF"/>
    <w:rsid w:val="003A57F2"/>
    <w:rsid w:val="003B1990"/>
    <w:rsid w:val="003B2674"/>
    <w:rsid w:val="003B5476"/>
    <w:rsid w:val="003B640C"/>
    <w:rsid w:val="003C3D4F"/>
    <w:rsid w:val="003C3E84"/>
    <w:rsid w:val="003C586E"/>
    <w:rsid w:val="003D0203"/>
    <w:rsid w:val="003D0816"/>
    <w:rsid w:val="003D2358"/>
    <w:rsid w:val="003E0783"/>
    <w:rsid w:val="003E1A28"/>
    <w:rsid w:val="003E4F0B"/>
    <w:rsid w:val="003F448A"/>
    <w:rsid w:val="003F481F"/>
    <w:rsid w:val="003F7EEB"/>
    <w:rsid w:val="00402AFB"/>
    <w:rsid w:val="00407A50"/>
    <w:rsid w:val="00413749"/>
    <w:rsid w:val="00413DCF"/>
    <w:rsid w:val="00414D27"/>
    <w:rsid w:val="0042234C"/>
    <w:rsid w:val="004231EA"/>
    <w:rsid w:val="0042671A"/>
    <w:rsid w:val="00426C65"/>
    <w:rsid w:val="004278F1"/>
    <w:rsid w:val="00434720"/>
    <w:rsid w:val="00437F4F"/>
    <w:rsid w:val="00445D9F"/>
    <w:rsid w:val="004461BB"/>
    <w:rsid w:val="004506E7"/>
    <w:rsid w:val="00452010"/>
    <w:rsid w:val="004534D3"/>
    <w:rsid w:val="0046101A"/>
    <w:rsid w:val="00461A82"/>
    <w:rsid w:val="00471300"/>
    <w:rsid w:val="00471A99"/>
    <w:rsid w:val="00474F31"/>
    <w:rsid w:val="0048225A"/>
    <w:rsid w:val="00484D3C"/>
    <w:rsid w:val="004977F9"/>
    <w:rsid w:val="004A66B1"/>
    <w:rsid w:val="004B0278"/>
    <w:rsid w:val="004B4242"/>
    <w:rsid w:val="004B4D02"/>
    <w:rsid w:val="004B4D38"/>
    <w:rsid w:val="004B5EC0"/>
    <w:rsid w:val="004B699E"/>
    <w:rsid w:val="004B6EFA"/>
    <w:rsid w:val="004B77D9"/>
    <w:rsid w:val="004C1834"/>
    <w:rsid w:val="004D0073"/>
    <w:rsid w:val="004D102D"/>
    <w:rsid w:val="004D7C7B"/>
    <w:rsid w:val="004E355F"/>
    <w:rsid w:val="004E5489"/>
    <w:rsid w:val="004E5820"/>
    <w:rsid w:val="004E6809"/>
    <w:rsid w:val="004E7571"/>
    <w:rsid w:val="004F1618"/>
    <w:rsid w:val="004F36A5"/>
    <w:rsid w:val="00501C6F"/>
    <w:rsid w:val="005039CB"/>
    <w:rsid w:val="00513F17"/>
    <w:rsid w:val="005157FE"/>
    <w:rsid w:val="00516667"/>
    <w:rsid w:val="005167CE"/>
    <w:rsid w:val="00520E56"/>
    <w:rsid w:val="005244B1"/>
    <w:rsid w:val="0052663F"/>
    <w:rsid w:val="00530A81"/>
    <w:rsid w:val="00542808"/>
    <w:rsid w:val="00553655"/>
    <w:rsid w:val="00554F60"/>
    <w:rsid w:val="0056254F"/>
    <w:rsid w:val="00566C01"/>
    <w:rsid w:val="00570357"/>
    <w:rsid w:val="00571708"/>
    <w:rsid w:val="00575B82"/>
    <w:rsid w:val="005A03C7"/>
    <w:rsid w:val="005A3E77"/>
    <w:rsid w:val="005B1360"/>
    <w:rsid w:val="005B2EA1"/>
    <w:rsid w:val="005B481C"/>
    <w:rsid w:val="005C2751"/>
    <w:rsid w:val="005C3E50"/>
    <w:rsid w:val="005C60BF"/>
    <w:rsid w:val="005D0BC4"/>
    <w:rsid w:val="005D312B"/>
    <w:rsid w:val="005D6D1B"/>
    <w:rsid w:val="005D769A"/>
    <w:rsid w:val="005E02F2"/>
    <w:rsid w:val="005E5412"/>
    <w:rsid w:val="005E6E07"/>
    <w:rsid w:val="005F0A4C"/>
    <w:rsid w:val="005F7A05"/>
    <w:rsid w:val="00605F21"/>
    <w:rsid w:val="00624B74"/>
    <w:rsid w:val="006274DC"/>
    <w:rsid w:val="00631ABF"/>
    <w:rsid w:val="00642309"/>
    <w:rsid w:val="00654D2D"/>
    <w:rsid w:val="00654FFE"/>
    <w:rsid w:val="00660D04"/>
    <w:rsid w:val="00661EAB"/>
    <w:rsid w:val="00665C7C"/>
    <w:rsid w:val="006768C7"/>
    <w:rsid w:val="00691041"/>
    <w:rsid w:val="00693FF1"/>
    <w:rsid w:val="0069549F"/>
    <w:rsid w:val="006A58A7"/>
    <w:rsid w:val="006A6E82"/>
    <w:rsid w:val="006C1DB2"/>
    <w:rsid w:val="006C2C7A"/>
    <w:rsid w:val="006D28E4"/>
    <w:rsid w:val="006E00D2"/>
    <w:rsid w:val="006E04F3"/>
    <w:rsid w:val="006E19A2"/>
    <w:rsid w:val="006E211D"/>
    <w:rsid w:val="006E4FEB"/>
    <w:rsid w:val="006E549E"/>
    <w:rsid w:val="006E5898"/>
    <w:rsid w:val="006F0B45"/>
    <w:rsid w:val="006F0DB1"/>
    <w:rsid w:val="006F624A"/>
    <w:rsid w:val="006F6C5D"/>
    <w:rsid w:val="006F6FB7"/>
    <w:rsid w:val="00700560"/>
    <w:rsid w:val="00704975"/>
    <w:rsid w:val="00705993"/>
    <w:rsid w:val="00705EC5"/>
    <w:rsid w:val="00706D51"/>
    <w:rsid w:val="007130A9"/>
    <w:rsid w:val="00716F3A"/>
    <w:rsid w:val="00720BBA"/>
    <w:rsid w:val="007237B8"/>
    <w:rsid w:val="00724BC7"/>
    <w:rsid w:val="007255D9"/>
    <w:rsid w:val="007318F2"/>
    <w:rsid w:val="00733481"/>
    <w:rsid w:val="00735630"/>
    <w:rsid w:val="0074144F"/>
    <w:rsid w:val="007417E0"/>
    <w:rsid w:val="00745B6D"/>
    <w:rsid w:val="00746765"/>
    <w:rsid w:val="0076291A"/>
    <w:rsid w:val="007671A5"/>
    <w:rsid w:val="00767254"/>
    <w:rsid w:val="0077065C"/>
    <w:rsid w:val="00771A9B"/>
    <w:rsid w:val="00771E7D"/>
    <w:rsid w:val="00774054"/>
    <w:rsid w:val="00787FFA"/>
    <w:rsid w:val="0079299A"/>
    <w:rsid w:val="007970F3"/>
    <w:rsid w:val="007A50FE"/>
    <w:rsid w:val="007B0131"/>
    <w:rsid w:val="007B0BB4"/>
    <w:rsid w:val="007B0CBE"/>
    <w:rsid w:val="007B4563"/>
    <w:rsid w:val="007C1E6F"/>
    <w:rsid w:val="007C360C"/>
    <w:rsid w:val="007C46D5"/>
    <w:rsid w:val="007C6F82"/>
    <w:rsid w:val="007D25C7"/>
    <w:rsid w:val="007D2AD8"/>
    <w:rsid w:val="007D6CB2"/>
    <w:rsid w:val="007E0B07"/>
    <w:rsid w:val="007E50C1"/>
    <w:rsid w:val="007E5544"/>
    <w:rsid w:val="007F1DA0"/>
    <w:rsid w:val="007F2D63"/>
    <w:rsid w:val="007F6718"/>
    <w:rsid w:val="00802ACE"/>
    <w:rsid w:val="00803809"/>
    <w:rsid w:val="00804611"/>
    <w:rsid w:val="0080727D"/>
    <w:rsid w:val="00810052"/>
    <w:rsid w:val="008172E9"/>
    <w:rsid w:val="00831478"/>
    <w:rsid w:val="00831728"/>
    <w:rsid w:val="00845869"/>
    <w:rsid w:val="0085279F"/>
    <w:rsid w:val="008607CB"/>
    <w:rsid w:val="008618C0"/>
    <w:rsid w:val="00861D60"/>
    <w:rsid w:val="00881149"/>
    <w:rsid w:val="0088333C"/>
    <w:rsid w:val="00884A51"/>
    <w:rsid w:val="00884B4C"/>
    <w:rsid w:val="00893A12"/>
    <w:rsid w:val="00895FB7"/>
    <w:rsid w:val="008960FC"/>
    <w:rsid w:val="008A4317"/>
    <w:rsid w:val="008A5F30"/>
    <w:rsid w:val="008A7A48"/>
    <w:rsid w:val="008B37F8"/>
    <w:rsid w:val="008B5146"/>
    <w:rsid w:val="008B6972"/>
    <w:rsid w:val="008B706A"/>
    <w:rsid w:val="008B7208"/>
    <w:rsid w:val="008C0372"/>
    <w:rsid w:val="008C24EF"/>
    <w:rsid w:val="008D58EB"/>
    <w:rsid w:val="008E0851"/>
    <w:rsid w:val="008E4E1E"/>
    <w:rsid w:val="008F78B7"/>
    <w:rsid w:val="0090018C"/>
    <w:rsid w:val="00901D0E"/>
    <w:rsid w:val="0090447A"/>
    <w:rsid w:val="009133B8"/>
    <w:rsid w:val="00917C53"/>
    <w:rsid w:val="009243F8"/>
    <w:rsid w:val="0092723B"/>
    <w:rsid w:val="00930265"/>
    <w:rsid w:val="00933794"/>
    <w:rsid w:val="00943021"/>
    <w:rsid w:val="00966C3A"/>
    <w:rsid w:val="00967E51"/>
    <w:rsid w:val="00971C31"/>
    <w:rsid w:val="00973DE0"/>
    <w:rsid w:val="009741FE"/>
    <w:rsid w:val="00974DA6"/>
    <w:rsid w:val="00975B8E"/>
    <w:rsid w:val="00981434"/>
    <w:rsid w:val="009959BF"/>
    <w:rsid w:val="0099693D"/>
    <w:rsid w:val="00996B4E"/>
    <w:rsid w:val="009A0681"/>
    <w:rsid w:val="009A3C99"/>
    <w:rsid w:val="009A6819"/>
    <w:rsid w:val="009A6D33"/>
    <w:rsid w:val="009B1307"/>
    <w:rsid w:val="009B194C"/>
    <w:rsid w:val="009B5763"/>
    <w:rsid w:val="009C6495"/>
    <w:rsid w:val="009D68C4"/>
    <w:rsid w:val="009F0D7B"/>
    <w:rsid w:val="009F2A9D"/>
    <w:rsid w:val="00A024CD"/>
    <w:rsid w:val="00A03A8E"/>
    <w:rsid w:val="00A05457"/>
    <w:rsid w:val="00A05503"/>
    <w:rsid w:val="00A05717"/>
    <w:rsid w:val="00A07080"/>
    <w:rsid w:val="00A15B11"/>
    <w:rsid w:val="00A16364"/>
    <w:rsid w:val="00A21532"/>
    <w:rsid w:val="00A25010"/>
    <w:rsid w:val="00A25D4C"/>
    <w:rsid w:val="00A26A3A"/>
    <w:rsid w:val="00A33802"/>
    <w:rsid w:val="00A356FF"/>
    <w:rsid w:val="00A40EA4"/>
    <w:rsid w:val="00A420C6"/>
    <w:rsid w:val="00A423E5"/>
    <w:rsid w:val="00A528E3"/>
    <w:rsid w:val="00A5315C"/>
    <w:rsid w:val="00A534D2"/>
    <w:rsid w:val="00A55CF7"/>
    <w:rsid w:val="00A578D7"/>
    <w:rsid w:val="00A60226"/>
    <w:rsid w:val="00A614B9"/>
    <w:rsid w:val="00A86CA4"/>
    <w:rsid w:val="00A938B7"/>
    <w:rsid w:val="00A96897"/>
    <w:rsid w:val="00AA062F"/>
    <w:rsid w:val="00AA33DF"/>
    <w:rsid w:val="00AA42DC"/>
    <w:rsid w:val="00AA71D1"/>
    <w:rsid w:val="00AC4680"/>
    <w:rsid w:val="00AC542C"/>
    <w:rsid w:val="00AC7121"/>
    <w:rsid w:val="00AD07CF"/>
    <w:rsid w:val="00AE144E"/>
    <w:rsid w:val="00AE2788"/>
    <w:rsid w:val="00AE39C9"/>
    <w:rsid w:val="00AE5028"/>
    <w:rsid w:val="00AE700A"/>
    <w:rsid w:val="00AF2A5A"/>
    <w:rsid w:val="00AF399D"/>
    <w:rsid w:val="00B0247F"/>
    <w:rsid w:val="00B02BA7"/>
    <w:rsid w:val="00B05212"/>
    <w:rsid w:val="00B07A0B"/>
    <w:rsid w:val="00B16C3B"/>
    <w:rsid w:val="00B21931"/>
    <w:rsid w:val="00B21C08"/>
    <w:rsid w:val="00B27BAA"/>
    <w:rsid w:val="00B3639E"/>
    <w:rsid w:val="00B36632"/>
    <w:rsid w:val="00B40D4D"/>
    <w:rsid w:val="00B43F9F"/>
    <w:rsid w:val="00B45156"/>
    <w:rsid w:val="00B54562"/>
    <w:rsid w:val="00B602B2"/>
    <w:rsid w:val="00B625F7"/>
    <w:rsid w:val="00B63FE3"/>
    <w:rsid w:val="00B71C87"/>
    <w:rsid w:val="00B72F13"/>
    <w:rsid w:val="00B7512A"/>
    <w:rsid w:val="00B90C61"/>
    <w:rsid w:val="00B94FC1"/>
    <w:rsid w:val="00BA420C"/>
    <w:rsid w:val="00BA584F"/>
    <w:rsid w:val="00BA5EA3"/>
    <w:rsid w:val="00BA68C6"/>
    <w:rsid w:val="00BC18B6"/>
    <w:rsid w:val="00BD00B2"/>
    <w:rsid w:val="00BD4DA3"/>
    <w:rsid w:val="00BD6FEC"/>
    <w:rsid w:val="00BD7105"/>
    <w:rsid w:val="00BD785F"/>
    <w:rsid w:val="00BE124F"/>
    <w:rsid w:val="00BE467F"/>
    <w:rsid w:val="00BE58EC"/>
    <w:rsid w:val="00BE5E19"/>
    <w:rsid w:val="00BF3E21"/>
    <w:rsid w:val="00BF6634"/>
    <w:rsid w:val="00C01502"/>
    <w:rsid w:val="00C06789"/>
    <w:rsid w:val="00C069B4"/>
    <w:rsid w:val="00C12A51"/>
    <w:rsid w:val="00C20CF3"/>
    <w:rsid w:val="00C22BF6"/>
    <w:rsid w:val="00C2528E"/>
    <w:rsid w:val="00C30E01"/>
    <w:rsid w:val="00C371B1"/>
    <w:rsid w:val="00C42668"/>
    <w:rsid w:val="00C42D4D"/>
    <w:rsid w:val="00C50C0C"/>
    <w:rsid w:val="00C72171"/>
    <w:rsid w:val="00C73F41"/>
    <w:rsid w:val="00C745C0"/>
    <w:rsid w:val="00C90B3D"/>
    <w:rsid w:val="00C92F1E"/>
    <w:rsid w:val="00C944DE"/>
    <w:rsid w:val="00C953E6"/>
    <w:rsid w:val="00C966AC"/>
    <w:rsid w:val="00C97705"/>
    <w:rsid w:val="00C97EDD"/>
    <w:rsid w:val="00C97F30"/>
    <w:rsid w:val="00C97FB0"/>
    <w:rsid w:val="00CA1C6C"/>
    <w:rsid w:val="00CA439D"/>
    <w:rsid w:val="00CB75B3"/>
    <w:rsid w:val="00CC3ADE"/>
    <w:rsid w:val="00CC5026"/>
    <w:rsid w:val="00CC5F5D"/>
    <w:rsid w:val="00CD1508"/>
    <w:rsid w:val="00CD6D99"/>
    <w:rsid w:val="00CE2A33"/>
    <w:rsid w:val="00CE5C46"/>
    <w:rsid w:val="00CE7FE3"/>
    <w:rsid w:val="00CF05F8"/>
    <w:rsid w:val="00D05D61"/>
    <w:rsid w:val="00D07B05"/>
    <w:rsid w:val="00D13464"/>
    <w:rsid w:val="00D141B5"/>
    <w:rsid w:val="00D14BAC"/>
    <w:rsid w:val="00D168EF"/>
    <w:rsid w:val="00D21D7A"/>
    <w:rsid w:val="00D26D05"/>
    <w:rsid w:val="00D34201"/>
    <w:rsid w:val="00D42B11"/>
    <w:rsid w:val="00D460AC"/>
    <w:rsid w:val="00D50BB3"/>
    <w:rsid w:val="00D51C7D"/>
    <w:rsid w:val="00D52626"/>
    <w:rsid w:val="00D52636"/>
    <w:rsid w:val="00D531A7"/>
    <w:rsid w:val="00D54A8C"/>
    <w:rsid w:val="00D720B0"/>
    <w:rsid w:val="00D73717"/>
    <w:rsid w:val="00D738AE"/>
    <w:rsid w:val="00D74B43"/>
    <w:rsid w:val="00D75DA9"/>
    <w:rsid w:val="00D77245"/>
    <w:rsid w:val="00D80C31"/>
    <w:rsid w:val="00D814B7"/>
    <w:rsid w:val="00D83734"/>
    <w:rsid w:val="00D85077"/>
    <w:rsid w:val="00D924F7"/>
    <w:rsid w:val="00D92FDE"/>
    <w:rsid w:val="00D93D62"/>
    <w:rsid w:val="00D95FF9"/>
    <w:rsid w:val="00DB2B05"/>
    <w:rsid w:val="00DB5D5A"/>
    <w:rsid w:val="00DC7283"/>
    <w:rsid w:val="00DD095F"/>
    <w:rsid w:val="00DE04CC"/>
    <w:rsid w:val="00DE51C5"/>
    <w:rsid w:val="00E05D96"/>
    <w:rsid w:val="00E10F9F"/>
    <w:rsid w:val="00E148B7"/>
    <w:rsid w:val="00E25292"/>
    <w:rsid w:val="00E278E8"/>
    <w:rsid w:val="00E3115C"/>
    <w:rsid w:val="00E34230"/>
    <w:rsid w:val="00E34A6D"/>
    <w:rsid w:val="00E36E7F"/>
    <w:rsid w:val="00E40B25"/>
    <w:rsid w:val="00E43139"/>
    <w:rsid w:val="00E45DA8"/>
    <w:rsid w:val="00E55311"/>
    <w:rsid w:val="00E5548E"/>
    <w:rsid w:val="00E80328"/>
    <w:rsid w:val="00E86FC5"/>
    <w:rsid w:val="00E920F6"/>
    <w:rsid w:val="00E957F9"/>
    <w:rsid w:val="00E965C2"/>
    <w:rsid w:val="00E96F16"/>
    <w:rsid w:val="00EA4CA4"/>
    <w:rsid w:val="00EA5F56"/>
    <w:rsid w:val="00EA796B"/>
    <w:rsid w:val="00EB1CF5"/>
    <w:rsid w:val="00EB7413"/>
    <w:rsid w:val="00EC0578"/>
    <w:rsid w:val="00EC21F9"/>
    <w:rsid w:val="00EC29E9"/>
    <w:rsid w:val="00ED5281"/>
    <w:rsid w:val="00ED53EA"/>
    <w:rsid w:val="00ED5869"/>
    <w:rsid w:val="00EE31FA"/>
    <w:rsid w:val="00EE6D98"/>
    <w:rsid w:val="00EE7299"/>
    <w:rsid w:val="00EF162C"/>
    <w:rsid w:val="00EF1EAC"/>
    <w:rsid w:val="00F01F59"/>
    <w:rsid w:val="00F01FFD"/>
    <w:rsid w:val="00F039F9"/>
    <w:rsid w:val="00F21E1D"/>
    <w:rsid w:val="00F22859"/>
    <w:rsid w:val="00F258DF"/>
    <w:rsid w:val="00F25971"/>
    <w:rsid w:val="00F2789F"/>
    <w:rsid w:val="00F300CC"/>
    <w:rsid w:val="00F3098D"/>
    <w:rsid w:val="00F3240D"/>
    <w:rsid w:val="00F332E2"/>
    <w:rsid w:val="00F44277"/>
    <w:rsid w:val="00F47962"/>
    <w:rsid w:val="00F51775"/>
    <w:rsid w:val="00F560CF"/>
    <w:rsid w:val="00F57C25"/>
    <w:rsid w:val="00F60498"/>
    <w:rsid w:val="00F62B2C"/>
    <w:rsid w:val="00F7213A"/>
    <w:rsid w:val="00F80B1A"/>
    <w:rsid w:val="00F82011"/>
    <w:rsid w:val="00F822FC"/>
    <w:rsid w:val="00F8578E"/>
    <w:rsid w:val="00F87E6A"/>
    <w:rsid w:val="00F921A1"/>
    <w:rsid w:val="00FA0084"/>
    <w:rsid w:val="00FA0E5B"/>
    <w:rsid w:val="00FA1478"/>
    <w:rsid w:val="00FA2D9C"/>
    <w:rsid w:val="00FA4ABE"/>
    <w:rsid w:val="00FA54CD"/>
    <w:rsid w:val="00FA57F3"/>
    <w:rsid w:val="00FA609C"/>
    <w:rsid w:val="00FA6838"/>
    <w:rsid w:val="00FB02C4"/>
    <w:rsid w:val="00FB1F77"/>
    <w:rsid w:val="00FB20BD"/>
    <w:rsid w:val="00FB4088"/>
    <w:rsid w:val="00FB512D"/>
    <w:rsid w:val="00FC0B1A"/>
    <w:rsid w:val="00FC13E7"/>
    <w:rsid w:val="00FC262F"/>
    <w:rsid w:val="00FD1151"/>
    <w:rsid w:val="00FD5A27"/>
    <w:rsid w:val="00FD6579"/>
    <w:rsid w:val="00FE3512"/>
    <w:rsid w:val="00FE728D"/>
    <w:rsid w:val="0E094D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3C7FBF18-F859-49A2-A4D3-64216E1BF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sz w:val="18"/>
      <w:szCs w:val="18"/>
    </w:rPr>
  </w:style>
  <w:style w:type="paragraph" w:styleId="a4">
    <w:name w:val="annotation text"/>
    <w:basedOn w:val="a"/>
    <w:link w:val="Char0"/>
    <w:uiPriority w:val="99"/>
    <w:semiHidden/>
    <w:unhideWhenUsed/>
    <w:qFormat/>
    <w:pPr>
      <w:jc w:val="left"/>
    </w:pPr>
  </w:style>
  <w:style w:type="paragraph" w:styleId="a5">
    <w:name w:val="Body Text"/>
    <w:basedOn w:val="a"/>
    <w:link w:val="Char1"/>
    <w:qFormat/>
    <w:pPr>
      <w:spacing w:after="120"/>
    </w:pPr>
  </w:style>
  <w:style w:type="paragraph" w:styleId="2">
    <w:name w:val="Body Text Indent 2"/>
    <w:basedOn w:val="a"/>
    <w:link w:val="2Char"/>
    <w:qFormat/>
    <w:pPr>
      <w:spacing w:after="120" w:line="480" w:lineRule="auto"/>
      <w:ind w:leftChars="200" w:left="420"/>
    </w:p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4"/>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paragraph" w:styleId="aa">
    <w:name w:val="annotation subject"/>
    <w:basedOn w:val="a4"/>
    <w:next w:val="a4"/>
    <w:link w:val="Char5"/>
    <w:uiPriority w:val="99"/>
    <w:semiHidden/>
    <w:unhideWhenUsed/>
    <w:rPr>
      <w:b/>
      <w:bCs/>
    </w:rPr>
  </w:style>
  <w:style w:type="character" w:styleId="ab">
    <w:name w:val="Strong"/>
    <w:basedOn w:val="a0"/>
    <w:uiPriority w:val="22"/>
    <w:qFormat/>
    <w:rPr>
      <w:b/>
      <w:bCs/>
    </w:rPr>
  </w:style>
  <w:style w:type="character" w:styleId="ac">
    <w:name w:val="Hyperlink"/>
    <w:basedOn w:val="a0"/>
    <w:uiPriority w:val="99"/>
    <w:unhideWhenUsed/>
    <w:qFormat/>
    <w:rPr>
      <w:color w:val="0000FF" w:themeColor="hyperlink"/>
      <w:u w:val="single"/>
    </w:rPr>
  </w:style>
  <w:style w:type="character" w:styleId="ad">
    <w:name w:val="annotation reference"/>
    <w:basedOn w:val="a0"/>
    <w:uiPriority w:val="99"/>
    <w:semiHidden/>
    <w:unhideWhenUsed/>
    <w:qFormat/>
    <w:rPr>
      <w:sz w:val="21"/>
      <w:szCs w:val="21"/>
    </w:rPr>
  </w:style>
  <w:style w:type="character" w:customStyle="1" w:styleId="Char4">
    <w:name w:val="页眉 Char"/>
    <w:basedOn w:val="a0"/>
    <w:link w:val="a8"/>
    <w:uiPriority w:val="99"/>
    <w:rPr>
      <w:sz w:val="18"/>
      <w:szCs w:val="18"/>
    </w:rPr>
  </w:style>
  <w:style w:type="character" w:customStyle="1" w:styleId="Char3">
    <w:name w:val="页脚 Char"/>
    <w:basedOn w:val="a0"/>
    <w:link w:val="a7"/>
    <w:uiPriority w:val="99"/>
    <w:rPr>
      <w:sz w:val="18"/>
      <w:szCs w:val="18"/>
    </w:rPr>
  </w:style>
  <w:style w:type="paragraph" w:customStyle="1" w:styleId="ae">
    <w:name w:val="正文所"/>
    <w:basedOn w:val="a"/>
    <w:qFormat/>
    <w:pPr>
      <w:spacing w:line="360" w:lineRule="auto"/>
      <w:ind w:firstLineChars="200" w:firstLine="420"/>
    </w:pPr>
    <w:rPr>
      <w:rFonts w:ascii="宋体"/>
      <w:szCs w:val="20"/>
    </w:rPr>
  </w:style>
  <w:style w:type="character" w:customStyle="1" w:styleId="Char1">
    <w:name w:val="正文文本 Char"/>
    <w:basedOn w:val="a0"/>
    <w:link w:val="a5"/>
    <w:qFormat/>
    <w:rPr>
      <w:rFonts w:ascii="Times New Roman" w:eastAsia="宋体" w:hAnsi="Times New Roman" w:cs="Times New Roman"/>
      <w:szCs w:val="24"/>
    </w:rPr>
  </w:style>
  <w:style w:type="character" w:customStyle="1" w:styleId="2Char">
    <w:name w:val="正文文本缩进 2 Char"/>
    <w:basedOn w:val="a0"/>
    <w:link w:val="2"/>
    <w:qFormat/>
    <w:rPr>
      <w:rFonts w:ascii="Times New Roman" w:eastAsia="宋体" w:hAnsi="Times New Roman" w:cs="Times New Roman"/>
      <w:szCs w:val="24"/>
    </w:rPr>
  </w:style>
  <w:style w:type="character" w:customStyle="1" w:styleId="Char">
    <w:name w:val="文档结构图 Char"/>
    <w:basedOn w:val="a0"/>
    <w:link w:val="a3"/>
    <w:uiPriority w:val="99"/>
    <w:semiHidden/>
    <w:qFormat/>
    <w:rPr>
      <w:rFonts w:ascii="宋体" w:eastAsia="宋体" w:hAnsi="Times New Roman" w:cs="Times New Roman"/>
      <w:sz w:val="18"/>
      <w:szCs w:val="18"/>
    </w:rPr>
  </w:style>
  <w:style w:type="paragraph" w:styleId="af">
    <w:name w:val="List Paragraph"/>
    <w:basedOn w:val="a"/>
    <w:uiPriority w:val="34"/>
    <w:qFormat/>
    <w:pPr>
      <w:ind w:firstLineChars="200" w:firstLine="420"/>
    </w:pPr>
  </w:style>
  <w:style w:type="character" w:customStyle="1" w:styleId="Char2">
    <w:name w:val="批注框文本 Char"/>
    <w:basedOn w:val="a0"/>
    <w:link w:val="a6"/>
    <w:uiPriority w:val="99"/>
    <w:semiHidden/>
    <w:rPr>
      <w:rFonts w:ascii="Times New Roman" w:eastAsia="宋体" w:hAnsi="Times New Roman" w:cs="Times New Roman"/>
      <w:sz w:val="18"/>
      <w:szCs w:val="18"/>
    </w:rPr>
  </w:style>
  <w:style w:type="character" w:customStyle="1" w:styleId="Char0">
    <w:name w:val="批注文字 Char"/>
    <w:basedOn w:val="a0"/>
    <w:link w:val="a4"/>
    <w:uiPriority w:val="99"/>
    <w:semiHidden/>
    <w:rPr>
      <w:rFonts w:ascii="Times New Roman" w:eastAsia="宋体" w:hAnsi="Times New Roman" w:cs="Times New Roman"/>
      <w:szCs w:val="24"/>
    </w:rPr>
  </w:style>
  <w:style w:type="character" w:customStyle="1" w:styleId="Char5">
    <w:name w:val="批注主题 Char"/>
    <w:basedOn w:val="Char0"/>
    <w:link w:val="aa"/>
    <w:uiPriority w:val="99"/>
    <w:semiHidden/>
    <w:qFormat/>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fund.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id.csrc.gov.cn/fund" TargetMode="External"/><Relationship Id="rId4" Type="http://schemas.openxmlformats.org/officeDocument/2006/relationships/settings" Target="settings.xml"/><Relationship Id="rId9" Type="http://schemas.openxmlformats.org/officeDocument/2006/relationships/hyperlink" Target="mailto:service@ctfund.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7464AD-825F-4DA2-A0B8-4D5624EF7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543</Words>
  <Characters>3096</Characters>
  <Application>Microsoft Office Word</Application>
  <DocSecurity>0</DocSecurity>
  <Lines>25</Lines>
  <Paragraphs>7</Paragraphs>
  <ScaleCrop>false</ScaleCrop>
  <Company>Microsoft</Company>
  <LinksUpToDate>false</LinksUpToDate>
  <CharactersWithSpaces>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陈岚</dc:creator>
  <cp:lastModifiedBy>姚明洁</cp:lastModifiedBy>
  <cp:revision>14</cp:revision>
  <cp:lastPrinted>2017-06-19T05:57:00Z</cp:lastPrinted>
  <dcterms:created xsi:type="dcterms:W3CDTF">2021-09-08T06:14:00Z</dcterms:created>
  <dcterms:modified xsi:type="dcterms:W3CDTF">2022-04-11T02:08:00Z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C4118912BA5D4D95909671581B40C5E5</vt:lpwstr>
  </property>
  <property fmtid="{D5CDD505-2E9C-101B-9397-08002B2CF9AE}" pid="4" name="_IPGFID">
    <vt:lpwstr>[DocID]=92EA1BF1-5A51-4042-9A82-6200FAD7A49E</vt:lpwstr>
  </property>
  <property fmtid="{D5CDD505-2E9C-101B-9397-08002B2CF9AE}" pid="7" name="_IPGFLOW_P-C97D_E-1_FP-1_SP-1_CV-9B2A988F_CN-D3FEC863">
    <vt:lpwstr>0BYgP/e/uWtyFqhu63Ov9/L1zF/XoBD4+OhIRJvYAyLwq1AKIiEpRvlniqMUs+kZXgqLOTk3LhoKCJGrgQnMTHFmDsfUZoZKrgO8jOhZqcMXngLEXCtyWUwGC1+EsSH7G2baEN1ZiJkSpSknAsjK3VAqQdChNH61cqCtwGfQYiJbHkbaPiV1EUA/FxnAxcOyFiPjXVoPxo9YjwE14oMiGowrA/q852uJfEfmh6leEaYKptJR4+BeYHBwd+cbfg5</vt:lpwstr>
  </property>
  <property fmtid="{D5CDD505-2E9C-101B-9397-08002B2CF9AE}" pid="8" name="_IPGFLOW_P-C97D_E-1_FP-1_SP-2_CV-6ED07BD_CN-98692951">
    <vt:lpwstr>OtxEeG2cgaEVDBKk/e13Zvw==</vt:lpwstr>
  </property>
  <property fmtid="{D5CDD505-2E9C-101B-9397-08002B2CF9AE}" pid="9" name="_IPGFLOW_P-C97D_E-0_FP-1_CV-44BF58F7_CN-F9463C3B">
    <vt:lpwstr>DPSPMK|3|280|2|0</vt:lpwstr>
  </property>
  <property fmtid="{D5CDD505-2E9C-101B-9397-08002B2CF9AE}" pid="8195" name="_IPGFLOW_P-C97D_E-1_FP-2_SP-1_CV-701330D1_CN-7EC66489">
    <vt:lpwstr>gDo1NLNDoURMfTUR5WIxF1+PMA376+oheMT7fJq0ygP/lQculUtXrrykIlXVJdR/fAc0L7pz9L2qzMnyO047LGCX1IfIkcSEDbreHS43cTqjEzxTM6iqUf0duPZrDViIC653AQ0LpO6Gh1qx2EUdVup72Ebpna7KMhoZ6TKjOla5YbmUqKAHpDjEiy3szg8lkXFYTqgMQI1f7bA2H7alvyfnZpfzY2wANxLXnkdLEO1zyWZAQMC+2hk+ASsG4Ah</vt:lpwstr>
  </property>
  <property fmtid="{D5CDD505-2E9C-101B-9397-08002B2CF9AE}" pid="8196" name="_IPGFLOW_P-C97D_E-1_FP-2_SP-2_CV-A2DE74B8_CN-B43C28CD">
    <vt:lpwstr>61WHMQ7kzV56AejulLUxUxQ==</vt:lpwstr>
  </property>
  <property fmtid="{D5CDD505-2E9C-101B-9397-08002B2CF9AE}" pid="8197" name="_IPGFLOW_P-C97D_E-0_FP-2_CV-44BF58F7_CN-448C50F5">
    <vt:lpwstr>DPSPMK|3|280|2|0</vt:lpwstr>
  </property>
  <property fmtid="{D5CDD505-2E9C-101B-9397-08002B2CF9AE}" pid="8198" name="DOCPROPERTY_INTERNAL_DELFLAGS2">
    <vt:lpwstr>1</vt:lpwstr>
  </property>
  <property fmtid="{D5CDD505-2E9C-101B-9397-08002B2CF9AE}" pid="8199" name="_IPGFLOW_P-C97D_E-0_CV-8BD6D882_CN-FFB9ABD6">
    <vt:lpwstr>DPFPMK|3|50|3|0</vt:lpwstr>
  </property>
  <property fmtid="{D5CDD505-2E9C-101B-9397-08002B2CF9AE}" pid="8200" name="_IPGFLOW_P-C97D_E-1_FP-3_SP-1_CV-420AC598_CN-4E7379C0">
    <vt:lpwstr>gDo1NLNDoURMfTUR5WIxF6hlb1J/o3t5x4qWDwOkRNh8kdIiwaZOl7Ti/qarRzDpT8euI8X+Qka12Z4zRRS/HzyaSDHTh0Nmy2XGbwkNeulGibor/js2WMivtuKyjBVQG13694MI7fFvkap6DXS+H9TFkTcJdkafSInV+Gyq3C1YyFoV+4PLw6vp45QeQyRJxHBWUaE0UorhNmK0OL1+hH1Fgo09TtswDZESRTG5PZmnm0lPLOe9hWArX6TbDY6</vt:lpwstr>
  </property>
  <property fmtid="{D5CDD505-2E9C-101B-9397-08002B2CF9AE}" pid="8201" name="_IPGFLOW_P-C97D_E-1_FP-3_SP-2_CV-A9894BCB_CN-F2A918CD">
    <vt:lpwstr>c45ukYPPRrzW04KkQEfYWBc6oZCz3xdsYR30fk/smTBgrA/5nH98HFotB20eF/ACvuTX1teC7Mc7rMQfioICJ6Ru195hJyb1rLiPJwuglc53uRCI+9pDtPBOcXIV4ru68fk64P3HtVIiVIZd0Wd+Ow3QBHaZn3r3oyFiLGQmj9VqSDwIa64Go70UrwHPys0uAIAngyryClpctAhSfuCCDuAggEy7s4VS7oKK1EV6Z1yYS331euqGqG9h7X7CtlM</vt:lpwstr>
  </property>
  <property fmtid="{D5CDD505-2E9C-101B-9397-08002B2CF9AE}" pid="8202" name="_IPGFLOW_P-C97D_E-1_FP-3_SP-3_CV-C3C1B12_CN-51090B5B">
    <vt:lpwstr>tE</vt:lpwstr>
  </property>
  <property fmtid="{D5CDD505-2E9C-101B-9397-08002B2CF9AE}" pid="8203" name="_IPGFLOW_P-C97D_E-0_FP-3_CV-DD150EE6_CN-DD3B45DF">
    <vt:lpwstr>DPSPMK|3|512|3|0</vt:lpwstr>
  </property>
</Properties>
</file>