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1EDCC" w14:textId="77777777" w:rsidR="005B0EF8" w:rsidRDefault="00156D73">
      <w:pPr>
        <w:spacing w:line="360" w:lineRule="auto"/>
        <w:jc w:val="center"/>
        <w:rPr>
          <w:rFonts w:ascii="黑体" w:eastAsia="黑体" w:hAnsi="黑体"/>
          <w:b/>
          <w:sz w:val="32"/>
        </w:rPr>
      </w:pPr>
      <w:bookmarkStart w:id="0" w:name="_GoBack"/>
      <w:bookmarkEnd w:id="0"/>
      <w:r>
        <w:rPr>
          <w:rFonts w:ascii="黑体" w:eastAsia="黑体" w:hAnsi="黑体" w:hint="eastAsia"/>
          <w:b/>
          <w:sz w:val="32"/>
        </w:rPr>
        <w:t>风险揭示书</w:t>
      </w:r>
    </w:p>
    <w:p w14:paraId="036C9789" w14:textId="77777777" w:rsidR="005B0EF8" w:rsidRDefault="00156D73">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77FE0FF3" w14:textId="77777777" w:rsidR="005B0EF8" w:rsidRDefault="00156D73">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68B6CB6B" w14:textId="77777777" w:rsidR="005B0EF8" w:rsidRDefault="00156D73">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47A6C8AC" w14:textId="77777777" w:rsidR="005B0EF8" w:rsidRDefault="00156D73">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46D518A" w14:textId="77777777" w:rsidR="005B0EF8" w:rsidRDefault="00156D73">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50DDF9EB" w14:textId="77777777" w:rsidR="005B0EF8" w:rsidRDefault="00156D73">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6EC97D97" w14:textId="77777777" w:rsidR="005B0EF8" w:rsidRDefault="00156D73">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2E40629" w14:textId="77777777" w:rsidR="005B0EF8" w:rsidRDefault="00156D73">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40CD39EC" w14:textId="77777777" w:rsidR="005B0EF8" w:rsidRDefault="00156D73">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1C33E336" w14:textId="77777777" w:rsidR="005B0EF8" w:rsidRDefault="00156D73">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0DA0453E" w14:textId="51089DB9" w:rsidR="005B0EF8" w:rsidRDefault="00156D73" w:rsidP="00E93E21">
      <w:pPr>
        <w:spacing w:line="360" w:lineRule="auto"/>
        <w:ind w:firstLineChars="200" w:firstLine="480"/>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sidRPr="00E93E21">
        <w:rPr>
          <w:rFonts w:hAnsi="宋体" w:hint="eastAsia"/>
          <w:color w:val="000000"/>
          <w:sz w:val="24"/>
        </w:rPr>
        <w:t>登记机构为中国证券登记结算有限责任公司</w:t>
      </w:r>
      <w:r>
        <w:rPr>
          <w:rFonts w:hAnsi="宋体" w:hint="eastAsia"/>
          <w:color w:val="000000"/>
          <w:sz w:val="24"/>
        </w:rPr>
        <w:t>，基金</w:t>
      </w:r>
      <w:r>
        <w:rPr>
          <w:rFonts w:hAnsi="宋体"/>
          <w:color w:val="000000"/>
          <w:sz w:val="24"/>
        </w:rPr>
        <w:t>托管人为</w:t>
      </w:r>
      <w:r w:rsidRPr="00E93E21">
        <w:rPr>
          <w:rFonts w:hAnsi="宋体" w:hint="eastAsia"/>
          <w:color w:val="000000"/>
          <w:sz w:val="24"/>
        </w:rPr>
        <w:t>中国工商</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723E6E95" w14:textId="77777777" w:rsidR="005B0EF8" w:rsidRDefault="00156D73" w:rsidP="00E93E21">
      <w:pPr>
        <w:spacing w:line="360" w:lineRule="auto"/>
        <w:ind w:firstLineChars="200" w:firstLine="480"/>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1.5</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0.25</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1059BF5F" w14:textId="77777777" w:rsidR="005B0EF8" w:rsidRDefault="00156D73">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14:paraId="26553DBC" w14:textId="1F83706D" w:rsidR="005B0EF8" w:rsidRDefault="00156D73">
      <w:pPr>
        <w:spacing w:line="360" w:lineRule="auto"/>
        <w:ind w:firstLineChars="200" w:firstLine="480"/>
        <w:rPr>
          <w:rFonts w:hAnsi="宋体"/>
          <w:color w:val="000000"/>
          <w:sz w:val="24"/>
        </w:rPr>
      </w:pPr>
      <w:r>
        <w:rPr>
          <w:rFonts w:hAnsi="宋体" w:hint="eastAsia"/>
          <w:color w:val="000000"/>
          <w:sz w:val="24"/>
        </w:rPr>
        <w:t>（四）本基金的特有风险：</w:t>
      </w:r>
    </w:p>
    <w:p w14:paraId="2F2E0BD9" w14:textId="107CD4A6" w:rsidR="005B0EF8" w:rsidRDefault="00156D73">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、本基金为混合型基金，风险等级为</w:t>
      </w:r>
      <w:r>
        <w:rPr>
          <w:rFonts w:hAnsi="宋体"/>
          <w:b/>
          <w:bCs/>
          <w:sz w:val="24"/>
        </w:rPr>
        <w:t>R3</w:t>
      </w:r>
      <w:r>
        <w:rPr>
          <w:rFonts w:hAnsi="宋体" w:hint="eastAsia"/>
          <w:b/>
          <w:bCs/>
          <w:sz w:val="24"/>
        </w:rPr>
        <w:t>等级。</w:t>
      </w:r>
    </w:p>
    <w:p w14:paraId="1489404D" w14:textId="55CA1B8E" w:rsidR="005B0EF8" w:rsidRDefault="00156D73">
      <w:pPr>
        <w:spacing w:line="360" w:lineRule="auto"/>
        <w:ind w:firstLineChars="200" w:firstLine="480"/>
        <w:rPr>
          <w:rFonts w:hAnsi="宋体"/>
          <w:color w:val="000000"/>
          <w:sz w:val="24"/>
        </w:rPr>
      </w:pPr>
      <w:r w:rsidRPr="00E93E21">
        <w:rPr>
          <w:rFonts w:hAnsi="宋体"/>
          <w:sz w:val="24"/>
        </w:rPr>
        <w:t>2</w:t>
      </w:r>
      <w:r w:rsidRPr="00E93E21">
        <w:rPr>
          <w:rFonts w:hAnsi="宋体"/>
          <w:sz w:val="24"/>
        </w:rPr>
        <w:t>、</w:t>
      </w:r>
      <w:r>
        <w:rPr>
          <w:color w:val="000000"/>
          <w:sz w:val="24"/>
        </w:rPr>
        <w:t>本基金在投资管理中会至少维持</w:t>
      </w:r>
      <w:r>
        <w:rPr>
          <w:color w:val="000000"/>
          <w:sz w:val="24"/>
        </w:rPr>
        <w:t>30%</w:t>
      </w:r>
      <w:r>
        <w:rPr>
          <w:color w:val="000000"/>
          <w:sz w:val="24"/>
        </w:rPr>
        <w:t>的股票投资比例，不能完全规避市场下跌的风险和个股风险，在市场上涨时也不能保证基金净值能够完全跟随或超越市场涨幅。</w:t>
      </w:r>
    </w:p>
    <w:p w14:paraId="37EDE1C2" w14:textId="77777777" w:rsidR="007F7319" w:rsidRPr="00404CF1" w:rsidRDefault="00156D73" w:rsidP="007F7319">
      <w:pPr>
        <w:spacing w:line="360" w:lineRule="auto"/>
        <w:ind w:firstLineChars="200" w:firstLine="480"/>
        <w:rPr>
          <w:color w:val="000000"/>
          <w:sz w:val="24"/>
        </w:rPr>
      </w:pPr>
      <w:r>
        <w:rPr>
          <w:rFonts w:hint="eastAsia"/>
          <w:bCs/>
          <w:color w:val="000000"/>
          <w:sz w:val="24"/>
        </w:rPr>
        <w:t>3</w:t>
      </w:r>
      <w:r>
        <w:rPr>
          <w:rFonts w:hint="eastAsia"/>
          <w:bCs/>
          <w:color w:val="000000"/>
          <w:sz w:val="24"/>
        </w:rPr>
        <w:t>、</w:t>
      </w:r>
      <w:r w:rsidR="007F7319"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4358EFC8" w14:textId="77777777" w:rsidR="005B0EF8" w:rsidRDefault="00156D73">
      <w:pPr>
        <w:autoSpaceDE w:val="0"/>
        <w:autoSpaceDN w:val="0"/>
        <w:spacing w:line="360" w:lineRule="auto"/>
        <w:ind w:firstLineChars="200" w:firstLine="480"/>
        <w:textAlignment w:val="bottom"/>
        <w:rPr>
          <w:color w:val="000000" w:themeColor="text1"/>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14:paraId="45F3A08D" w14:textId="77777777" w:rsidR="005B0EF8" w:rsidRDefault="00156D73">
      <w:pPr>
        <w:spacing w:line="360" w:lineRule="auto"/>
        <w:ind w:firstLineChars="200" w:firstLine="480"/>
        <w:rPr>
          <w:color w:val="000000" w:themeColor="text1"/>
          <w:sz w:val="24"/>
        </w:rPr>
      </w:pPr>
      <w:r>
        <w:rPr>
          <w:rFonts w:hint="eastAsia"/>
          <w:color w:val="000000"/>
          <w:sz w:val="24"/>
        </w:rPr>
        <w:t>5</w:t>
      </w:r>
      <w:r>
        <w:rPr>
          <w:rFonts w:hint="eastAsia"/>
          <w:bCs/>
          <w:color w:val="000000"/>
          <w:sz w:val="24"/>
        </w:rPr>
        <w:t>、本基金</w:t>
      </w:r>
      <w:r>
        <w:rPr>
          <w:bCs/>
          <w:color w:val="000000"/>
          <w:sz w:val="24"/>
        </w:rPr>
        <w:t>可</w:t>
      </w:r>
      <w:r>
        <w:rPr>
          <w:rFonts w:hint="eastAsia"/>
          <w:bCs/>
          <w:color w:val="000000"/>
          <w:sz w:val="24"/>
        </w:rPr>
        <w:t>投资</w:t>
      </w:r>
      <w:r>
        <w:rPr>
          <w:bCs/>
          <w:color w:val="000000"/>
          <w:sz w:val="24"/>
        </w:rPr>
        <w:t>于</w:t>
      </w:r>
      <w:r>
        <w:rPr>
          <w:rFonts w:hint="eastAsia"/>
          <w:color w:val="000000" w:themeColor="text1"/>
          <w:sz w:val="24"/>
        </w:rPr>
        <w:t>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E631358" w14:textId="77777777" w:rsidR="005B0EF8" w:rsidRDefault="00156D73">
      <w:pPr>
        <w:spacing w:line="360" w:lineRule="auto"/>
        <w:ind w:firstLineChars="200" w:firstLine="480"/>
        <w:rPr>
          <w:bCs/>
          <w:color w:val="000000" w:themeColor="text1"/>
          <w:sz w:val="24"/>
          <w:szCs w:val="20"/>
        </w:rPr>
      </w:pPr>
      <w:r>
        <w:rPr>
          <w:rFonts w:hint="eastAsia"/>
          <w:color w:val="000000"/>
          <w:sz w:val="24"/>
        </w:rPr>
        <w:lastRenderedPageBreak/>
        <w:t>6</w:t>
      </w:r>
      <w:r>
        <w:rPr>
          <w:rFonts w:hint="eastAsia"/>
          <w:color w:val="000000"/>
          <w:sz w:val="24"/>
        </w:rPr>
        <w:t>、本基金可投资于股指期货，</w:t>
      </w:r>
      <w:r>
        <w:rPr>
          <w:rFonts w:hint="eastAsia"/>
          <w:bCs/>
          <w:color w:val="000000" w:themeColor="text1"/>
          <w:sz w:val="24"/>
          <w:szCs w:val="20"/>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9E9F3CE" w14:textId="77777777" w:rsidR="005B0EF8" w:rsidRDefault="00156D73">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65BCFE07" w14:textId="2C50CCAB" w:rsidR="005B0EF8" w:rsidRDefault="00156D73">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14:paraId="1E6A2FC2" w14:textId="77777777" w:rsidR="005B0EF8" w:rsidRDefault="00156D73">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6AB6D774" w14:textId="77777777" w:rsidR="005B0EF8" w:rsidRDefault="00156D73">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3745CE7" w14:textId="77777777" w:rsidR="005B0EF8" w:rsidRDefault="00156D73">
      <w:pPr>
        <w:spacing w:line="360" w:lineRule="auto"/>
        <w:ind w:firstLineChars="200" w:firstLine="480"/>
        <w:rPr>
          <w:color w:val="000000"/>
          <w:sz w:val="24"/>
        </w:rPr>
      </w:pPr>
      <w:r>
        <w:rPr>
          <w:sz w:val="24"/>
        </w:rPr>
        <w:t>本基金转换为上市开放式基金（</w:t>
      </w:r>
      <w:r>
        <w:rPr>
          <w:sz w:val="24"/>
        </w:rPr>
        <w:t>LOF</w:t>
      </w:r>
      <w:r>
        <w:rPr>
          <w:sz w:val="24"/>
        </w:rPr>
        <w:t>）后，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221CC2A4" w14:textId="77777777" w:rsidR="005B0EF8" w:rsidRDefault="00156D73">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38A9C2F6" w14:textId="4434B24E" w:rsidR="005B0EF8" w:rsidRDefault="00156D73">
      <w:pPr>
        <w:spacing w:line="360" w:lineRule="auto"/>
        <w:ind w:firstLineChars="200" w:firstLine="480"/>
        <w:rPr>
          <w:rFonts w:hAnsi="宋体"/>
          <w:color w:val="000000"/>
          <w:sz w:val="24"/>
        </w:rPr>
      </w:pPr>
      <w:r>
        <w:rPr>
          <w:rFonts w:hAnsi="宋体" w:hint="eastAsia"/>
          <w:color w:val="000000"/>
          <w:sz w:val="24"/>
        </w:rPr>
        <w:t>（六）您享有如下权利：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、申赎或转让基金份额；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w:t>
      </w:r>
      <w:r>
        <w:rPr>
          <w:rFonts w:hAnsi="宋体" w:hint="eastAsia"/>
          <w:color w:val="000000"/>
          <w:sz w:val="24"/>
        </w:rPr>
        <w:lastRenderedPageBreak/>
        <w:t>同规定的其他。</w:t>
      </w:r>
    </w:p>
    <w:p w14:paraId="63A921EB" w14:textId="77777777" w:rsidR="005B0EF8" w:rsidRDefault="00156D73">
      <w:pPr>
        <w:spacing w:line="360" w:lineRule="auto"/>
        <w:ind w:firstLineChars="200" w:firstLine="480"/>
        <w:rPr>
          <w:bCs/>
          <w:sz w:val="24"/>
        </w:rPr>
      </w:pPr>
      <w:r>
        <w:rPr>
          <w:rFonts w:hint="eastAsia"/>
          <w:bCs/>
          <w:sz w:val="24"/>
        </w:rPr>
        <w:t>基金</w:t>
      </w:r>
      <w:r>
        <w:rPr>
          <w:bCs/>
          <w:sz w:val="24"/>
        </w:rPr>
        <w:t>份额持有人的义务包括：</w:t>
      </w:r>
      <w:r w:rsidRPr="00E93E21">
        <w:rPr>
          <w:bCs/>
          <w:sz w:val="24"/>
        </w:rPr>
        <w:t>1</w:t>
      </w:r>
      <w:r>
        <w:rPr>
          <w:rFonts w:hint="eastAsia"/>
          <w:bCs/>
          <w:sz w:val="24"/>
        </w:rPr>
        <w:t>、</w:t>
      </w:r>
      <w:r w:rsidRPr="00E93E21">
        <w:rPr>
          <w:rFonts w:hint="eastAsia"/>
          <w:bCs/>
          <w:sz w:val="24"/>
        </w:rPr>
        <w:t>认真阅读并遵守《基金合同》；</w:t>
      </w:r>
      <w:r w:rsidRPr="00E93E21">
        <w:rPr>
          <w:bCs/>
          <w:sz w:val="24"/>
        </w:rPr>
        <w:t>2</w:t>
      </w:r>
      <w:r>
        <w:rPr>
          <w:rFonts w:hint="eastAsia"/>
          <w:bCs/>
          <w:sz w:val="24"/>
        </w:rPr>
        <w:t>、</w:t>
      </w:r>
      <w:r w:rsidRPr="00E93E21">
        <w:rPr>
          <w:rFonts w:hint="eastAsia"/>
          <w:bCs/>
          <w:sz w:val="24"/>
        </w:rPr>
        <w:t>了解所投资基金产品，了解自身风险承受能力，自行承担投资风险；</w:t>
      </w:r>
      <w:r w:rsidRPr="00E93E21">
        <w:rPr>
          <w:bCs/>
          <w:sz w:val="24"/>
        </w:rPr>
        <w:t>3</w:t>
      </w:r>
      <w:r>
        <w:rPr>
          <w:rFonts w:hint="eastAsia"/>
          <w:bCs/>
          <w:sz w:val="24"/>
        </w:rPr>
        <w:t>、</w:t>
      </w:r>
      <w:r w:rsidRPr="00E93E21">
        <w:rPr>
          <w:rFonts w:hint="eastAsia"/>
          <w:bCs/>
          <w:sz w:val="24"/>
        </w:rPr>
        <w:t>关注基金信息披露，及时行使权利和履行义务；</w:t>
      </w:r>
      <w:r w:rsidRPr="00E93E21">
        <w:rPr>
          <w:bCs/>
          <w:sz w:val="24"/>
        </w:rPr>
        <w:t>4</w:t>
      </w:r>
      <w:r>
        <w:rPr>
          <w:rFonts w:hint="eastAsia"/>
          <w:bCs/>
          <w:sz w:val="24"/>
        </w:rPr>
        <w:t>、</w:t>
      </w:r>
      <w:r w:rsidRPr="00E93E21">
        <w:rPr>
          <w:rFonts w:hint="eastAsia"/>
          <w:bCs/>
          <w:sz w:val="24"/>
        </w:rPr>
        <w:t>缴纳基金认购、申购款项及法律法规和《基金合同》所规定的费用；</w:t>
      </w:r>
      <w:r w:rsidRPr="00E93E21">
        <w:rPr>
          <w:bCs/>
          <w:sz w:val="24"/>
        </w:rPr>
        <w:t>5</w:t>
      </w:r>
      <w:r>
        <w:rPr>
          <w:rFonts w:hint="eastAsia"/>
          <w:bCs/>
          <w:sz w:val="24"/>
        </w:rPr>
        <w:t>、</w:t>
      </w:r>
      <w:r w:rsidRPr="00E93E21">
        <w:rPr>
          <w:rFonts w:hint="eastAsia"/>
          <w:bCs/>
          <w:sz w:val="24"/>
        </w:rPr>
        <w:t>在其持有的基金份额范围内，承担基金亏损或者《基金合同》终止的有限责任；</w:t>
      </w:r>
      <w:r w:rsidRPr="00E93E21">
        <w:rPr>
          <w:bCs/>
          <w:sz w:val="24"/>
        </w:rPr>
        <w:t>6</w:t>
      </w:r>
      <w:r>
        <w:rPr>
          <w:rFonts w:hint="eastAsia"/>
          <w:bCs/>
          <w:sz w:val="24"/>
        </w:rPr>
        <w:t>、</w:t>
      </w:r>
      <w:r w:rsidRPr="00E93E21">
        <w:rPr>
          <w:rFonts w:hint="eastAsia"/>
          <w:bCs/>
          <w:sz w:val="24"/>
        </w:rPr>
        <w:t>不从事任何有损基金及其他《基金合同》当事人合法权益的活动；</w:t>
      </w:r>
      <w:r w:rsidRPr="00E93E21">
        <w:rPr>
          <w:bCs/>
          <w:sz w:val="24"/>
        </w:rPr>
        <w:t>7</w:t>
      </w:r>
      <w:r>
        <w:rPr>
          <w:rFonts w:hint="eastAsia"/>
          <w:bCs/>
          <w:sz w:val="24"/>
        </w:rPr>
        <w:t>、</w:t>
      </w:r>
      <w:r w:rsidRPr="00E93E21">
        <w:rPr>
          <w:rFonts w:hint="eastAsia"/>
          <w:bCs/>
          <w:sz w:val="24"/>
        </w:rPr>
        <w:t>执行生效的基金份额持有人大会的决议；</w:t>
      </w:r>
      <w:r w:rsidRPr="00E93E21">
        <w:rPr>
          <w:bCs/>
          <w:sz w:val="24"/>
        </w:rPr>
        <w:t>8</w:t>
      </w:r>
      <w:r>
        <w:rPr>
          <w:rFonts w:hint="eastAsia"/>
          <w:bCs/>
          <w:sz w:val="24"/>
        </w:rPr>
        <w:t>、</w:t>
      </w:r>
      <w:r w:rsidRPr="00E93E21">
        <w:rPr>
          <w:rFonts w:hint="eastAsia"/>
          <w:bCs/>
          <w:sz w:val="24"/>
        </w:rPr>
        <w:t>返还在基金交易过程中因任何原因获得的不当得利；</w:t>
      </w:r>
      <w:r w:rsidRPr="00E93E21">
        <w:rPr>
          <w:bCs/>
          <w:sz w:val="24"/>
        </w:rPr>
        <w:t>9</w:t>
      </w:r>
      <w:r>
        <w:rPr>
          <w:rFonts w:hint="eastAsia"/>
          <w:bCs/>
          <w:sz w:val="24"/>
        </w:rPr>
        <w:t>、</w:t>
      </w:r>
      <w:r w:rsidRPr="00E93E21">
        <w:rPr>
          <w:rFonts w:hint="eastAsia"/>
          <w:bCs/>
          <w:sz w:val="24"/>
        </w:rPr>
        <w:t>法律法规及中国证监会规定的和《基金合同》约定的其他义务。</w:t>
      </w:r>
    </w:p>
    <w:p w14:paraId="6A872A4E" w14:textId="77777777" w:rsidR="005B0EF8" w:rsidRDefault="00156D73">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第八</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5300F0A2" w14:textId="5B126AB5" w:rsidR="00145AC0" w:rsidRDefault="00156D73">
      <w:pPr>
        <w:spacing w:line="360" w:lineRule="auto"/>
        <w:ind w:firstLineChars="200" w:firstLine="480"/>
        <w:rPr>
          <w:bCs/>
          <w:sz w:val="24"/>
        </w:rPr>
      </w:pPr>
      <w:r>
        <w:rPr>
          <w:rFonts w:hAnsi="宋体" w:hint="eastAsia"/>
          <w:color w:val="000000"/>
          <w:sz w:val="24"/>
        </w:rPr>
        <w:t>（七）基金成立后，上市前，至少每周披露净值；上市后，每交易日次日披露净值；</w:t>
      </w:r>
      <w:r w:rsidR="00145AC0">
        <w:rPr>
          <w:rFonts w:hint="eastAsia"/>
          <w:bCs/>
          <w:color w:val="000000" w:themeColor="text1"/>
          <w:sz w:val="24"/>
        </w:rPr>
        <w:t>在</w:t>
      </w:r>
      <w:r w:rsidR="00145AC0" w:rsidRPr="00567D50">
        <w:rPr>
          <w:rFonts w:hint="eastAsia"/>
          <w:bCs/>
          <w:color w:val="000000" w:themeColor="text1"/>
          <w:sz w:val="24"/>
        </w:rPr>
        <w:t>每年结束之日起</w:t>
      </w:r>
      <w:r w:rsidR="00145AC0">
        <w:rPr>
          <w:rFonts w:hint="eastAsia"/>
          <w:bCs/>
          <w:sz w:val="24"/>
        </w:rPr>
        <w:t>三个月内，披露年报；</w:t>
      </w:r>
      <w:r w:rsidR="00145AC0" w:rsidRPr="00567D50">
        <w:rPr>
          <w:rFonts w:hint="eastAsia"/>
          <w:bCs/>
          <w:color w:val="000000" w:themeColor="text1"/>
          <w:sz w:val="24"/>
        </w:rPr>
        <w:t>在上半年结束之日起</w:t>
      </w:r>
      <w:r w:rsidR="00145AC0">
        <w:rPr>
          <w:rFonts w:hint="eastAsia"/>
          <w:bCs/>
          <w:sz w:val="24"/>
        </w:rPr>
        <w:t>两个月内，披露中期报告；</w:t>
      </w:r>
      <w:r w:rsidR="00145AC0" w:rsidRPr="00C059AC">
        <w:rPr>
          <w:bCs/>
          <w:color w:val="000000" w:themeColor="text1"/>
          <w:sz w:val="24"/>
        </w:rPr>
        <w:t>在季度结束之日起</w:t>
      </w:r>
      <w:r w:rsidR="00145AC0">
        <w:rPr>
          <w:rFonts w:hint="eastAsia"/>
          <w:bCs/>
          <w:sz w:val="24"/>
        </w:rPr>
        <w:t>十五个工作日内，披露季报</w:t>
      </w:r>
      <w:r>
        <w:rPr>
          <w:rFonts w:hint="eastAsia"/>
          <w:bCs/>
          <w:sz w:val="24"/>
        </w:rPr>
        <w:t>。</w:t>
      </w:r>
    </w:p>
    <w:p w14:paraId="01362EB2" w14:textId="563808E1" w:rsidR="005B0EF8" w:rsidRDefault="00156D73">
      <w:pPr>
        <w:spacing w:line="360" w:lineRule="auto"/>
        <w:ind w:firstLineChars="200" w:firstLine="480"/>
        <w:rPr>
          <w:rFonts w:hAnsi="宋体"/>
          <w:color w:val="000000"/>
          <w:sz w:val="24"/>
        </w:rPr>
      </w:pPr>
      <w:r>
        <w:rPr>
          <w:rFonts w:hAnsi="宋体" w:hint="eastAsia"/>
          <w:color w:val="000000"/>
          <w:sz w:val="24"/>
        </w:rPr>
        <w:t>您可以登陆公司网站（</w:t>
      </w:r>
      <w:r>
        <w:rPr>
          <w:rFonts w:hAnsi="宋体"/>
          <w:color w:val="000000"/>
          <w:sz w:val="24"/>
        </w:rPr>
        <w:t>www.ctfund.com</w:t>
      </w:r>
      <w:r>
        <w:rPr>
          <w:rFonts w:hAnsi="宋体" w:hint="eastAsia"/>
          <w:color w:val="000000"/>
          <w:sz w:val="24"/>
        </w:rPr>
        <w:t>）或查阅</w:t>
      </w:r>
      <w:r w:rsidR="00145AC0">
        <w:rPr>
          <w:rFonts w:hAnsi="宋体" w:hint="eastAsia"/>
          <w:color w:val="000000"/>
          <w:sz w:val="24"/>
        </w:rPr>
        <w:t>《</w:t>
      </w:r>
      <w:r w:rsidR="00145AC0" w:rsidRPr="00145AC0">
        <w:rPr>
          <w:rFonts w:hAnsi="宋体" w:hint="eastAsia"/>
          <w:color w:val="000000"/>
          <w:sz w:val="24"/>
        </w:rPr>
        <w:t>证券时报</w:t>
      </w:r>
      <w:r w:rsidR="00145AC0">
        <w:rPr>
          <w:rFonts w:hAnsi="宋体" w:hint="eastAsia"/>
          <w:color w:val="000000"/>
          <w:sz w:val="24"/>
        </w:rPr>
        <w:t>》</w:t>
      </w:r>
      <w:r>
        <w:rPr>
          <w:rFonts w:hAnsi="宋体" w:hint="eastAsia"/>
          <w:color w:val="000000"/>
          <w:sz w:val="24"/>
        </w:rPr>
        <w:t>查询有关信息和其它临时公告。</w:t>
      </w:r>
    </w:p>
    <w:p w14:paraId="16AA1E29" w14:textId="3EB970BC" w:rsidR="005B0EF8" w:rsidRDefault="00156D73">
      <w:pPr>
        <w:spacing w:line="360" w:lineRule="auto"/>
        <w:ind w:firstLineChars="200" w:firstLine="480"/>
        <w:rPr>
          <w:rFonts w:hAnsi="宋体"/>
          <w:color w:val="000000"/>
          <w:sz w:val="24"/>
        </w:rPr>
      </w:pPr>
      <w:r>
        <w:rPr>
          <w:rFonts w:hAnsi="宋体" w:hint="eastAsia"/>
          <w:color w:val="000000"/>
          <w:sz w:val="24"/>
        </w:rPr>
        <w:t>（八）您通过柜台直销投资的，享有</w:t>
      </w:r>
      <w:r>
        <w:rPr>
          <w:rFonts w:hAnsi="宋体"/>
          <w:color w:val="000000"/>
          <w:sz w:val="24"/>
        </w:rPr>
        <w:t>3</w:t>
      </w:r>
      <w:r>
        <w:rPr>
          <w:rFonts w:hAnsi="宋体" w:hint="eastAsia"/>
          <w:color w:val="000000"/>
          <w:sz w:val="24"/>
        </w:rPr>
        <w:t>分钟冷静期；您通过线上直销投资的，享有</w:t>
      </w:r>
      <w:r>
        <w:rPr>
          <w:rFonts w:hAnsi="宋体"/>
          <w:color w:val="000000"/>
          <w:sz w:val="24"/>
        </w:rPr>
        <w:t>10</w:t>
      </w:r>
      <w:r>
        <w:rPr>
          <w:rFonts w:hAnsi="宋体" w:hint="eastAsia"/>
          <w:color w:val="000000"/>
          <w:sz w:val="24"/>
        </w:rPr>
        <w:t>秒钟冷静期。交易确认后，公司将抽取一定比例客户进行回访；普通投资者（机构）通过传真交易方式投资的，至少回访两次。</w:t>
      </w:r>
    </w:p>
    <w:p w14:paraId="1753C6EB" w14:textId="6B26C3B2" w:rsidR="005B0EF8" w:rsidRDefault="00156D73">
      <w:pPr>
        <w:spacing w:line="360" w:lineRule="auto"/>
        <w:ind w:firstLineChars="200" w:firstLine="480"/>
        <w:rPr>
          <w:rFonts w:hAnsi="宋体"/>
          <w:color w:val="000000"/>
          <w:sz w:val="24"/>
        </w:rPr>
      </w:pPr>
      <w:r>
        <w:rPr>
          <w:rFonts w:hAnsi="宋体" w:hint="eastAsia"/>
          <w:color w:val="000000"/>
          <w:sz w:val="24"/>
        </w:rPr>
        <w:t>（</w:t>
      </w:r>
      <w:r>
        <w:rPr>
          <w:rFonts w:hint="eastAsia"/>
          <w:bCs/>
          <w:sz w:val="24"/>
        </w:rPr>
        <w:t>九</w:t>
      </w:r>
      <w:r>
        <w:rPr>
          <w:rFonts w:hAnsi="宋体" w:hint="eastAsia"/>
          <w:color w:val="000000"/>
          <w:sz w:val="24"/>
        </w:rPr>
        <w:t>）您可通过客服电话（</w:t>
      </w:r>
      <w:r>
        <w:rPr>
          <w:rFonts w:hAnsi="宋体"/>
          <w:color w:val="000000"/>
          <w:sz w:val="24"/>
        </w:rPr>
        <w:t>400-820-9888</w:t>
      </w:r>
      <w:r>
        <w:rPr>
          <w:rFonts w:hAnsi="宋体" w:hint="eastAsia"/>
          <w:color w:val="000000"/>
          <w:sz w:val="24"/>
        </w:rPr>
        <w:t>）或电子邮件（</w:t>
      </w:r>
      <w:hyperlink r:id="rId9" w:history="1">
        <w:r>
          <w:rPr>
            <w:rFonts w:hAnsi="宋体"/>
            <w:color w:val="000000"/>
            <w:sz w:val="24"/>
          </w:rPr>
          <w:t>service@ctfund.com</w:t>
        </w:r>
      </w:hyperlink>
      <w:r>
        <w:rPr>
          <w:rFonts w:hAnsi="宋体" w:hint="eastAsia"/>
          <w:color w:val="000000"/>
          <w:sz w:val="24"/>
        </w:rPr>
        <w:t>）进行投诉；</w:t>
      </w:r>
      <w:hyperlink r:id="rId10" w:history="1">
        <w:r>
          <w:rPr>
            <w:rFonts w:hAnsi="宋体" w:hint="eastAsia"/>
            <w:color w:val="000000"/>
            <w:sz w:val="24"/>
          </w:rPr>
          <w:t>亦</w:t>
        </w:r>
      </w:hyperlink>
      <w:r>
        <w:rPr>
          <w:rFonts w:hAnsi="宋体" w:hint="eastAsia"/>
          <w:color w:val="000000"/>
          <w:sz w:val="24"/>
        </w:rPr>
        <w:t>可向中国国际经济贸易仲裁委员会提起仲裁。</w:t>
      </w:r>
    </w:p>
    <w:p w14:paraId="0402D0F2" w14:textId="77777777" w:rsidR="005B0EF8" w:rsidRDefault="00156D73">
      <w:pPr>
        <w:spacing w:line="360" w:lineRule="auto"/>
        <w:ind w:firstLineChars="200" w:firstLine="480"/>
        <w:jc w:val="left"/>
        <w:rPr>
          <w:rFonts w:ascii="Arial" w:hAnsi="Arial" w:cs="Arial"/>
          <w:color w:val="000000"/>
          <w:sz w:val="24"/>
        </w:rPr>
      </w:pPr>
      <w:bookmarkStart w:id="1" w:name="_Hlt88825574"/>
      <w:bookmarkEnd w:id="1"/>
      <w:r>
        <w:rPr>
          <w:rFonts w:ascii="Arial" w:hAnsi="Arial" w:cs="Arial" w:hint="eastAsia"/>
          <w:color w:val="000000"/>
          <w:sz w:val="24"/>
        </w:rPr>
        <w:t>本基金</w:t>
      </w:r>
      <w:r>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Pr>
            <w:rFonts w:ascii="Arial" w:hAnsi="Arial" w:cs="Arial" w:hint="eastAsia"/>
            <w:color w:val="000000"/>
            <w:sz w:val="24"/>
          </w:rPr>
          <w:t>http://eid.csrc.gov.cn/fund</w:t>
        </w:r>
      </w:hyperlink>
      <w:r>
        <w:rPr>
          <w:rFonts w:ascii="Arial" w:hAnsi="Arial" w:cs="Arial"/>
          <w:color w:val="000000"/>
          <w:sz w:val="24"/>
        </w:rPr>
        <w:t>】和基金管理人网站【</w:t>
      </w:r>
      <w:r>
        <w:rPr>
          <w:rFonts w:ascii="Arial" w:hAnsi="Arial" w:cs="Arial"/>
          <w:color w:val="000000"/>
          <w:sz w:val="24"/>
        </w:rPr>
        <w:t>www.ctfund.com</w:t>
      </w:r>
      <w:r>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7B168C25" w14:textId="77777777" w:rsidR="005B0EF8" w:rsidRDefault="005B0EF8">
      <w:pPr>
        <w:spacing w:line="360" w:lineRule="auto"/>
        <w:ind w:firstLineChars="200" w:firstLine="482"/>
        <w:jc w:val="left"/>
        <w:rPr>
          <w:rFonts w:ascii="Arial" w:hAnsi="Arial" w:cs="Arial"/>
          <w:b/>
          <w:color w:val="000000"/>
          <w:sz w:val="24"/>
        </w:rPr>
      </w:pPr>
    </w:p>
    <w:p w14:paraId="2B0B60CA" w14:textId="77777777" w:rsidR="005B0EF8" w:rsidRDefault="00156D73">
      <w:pPr>
        <w:spacing w:line="360" w:lineRule="auto"/>
        <w:ind w:firstLineChars="200" w:firstLine="482"/>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w:t>
      </w:r>
      <w:r>
        <w:rPr>
          <w:rFonts w:ascii="Arial" w:hAnsi="Arial" w:cs="Arial" w:hint="eastAsia"/>
          <w:b/>
          <w:color w:val="000000"/>
          <w:sz w:val="24"/>
          <w:u w:val="double"/>
        </w:rPr>
        <w:lastRenderedPageBreak/>
        <w:t>认</w:t>
      </w:r>
      <w:r>
        <w:rPr>
          <w:rFonts w:ascii="Arial" w:hAnsi="Arial" w:cs="Arial" w:hint="eastAsia"/>
          <w:color w:val="000000"/>
          <w:sz w:val="24"/>
        </w:rPr>
        <w:t>。</w:t>
      </w:r>
    </w:p>
    <w:p w14:paraId="6E8CF27B" w14:textId="77777777" w:rsidR="005B0EF8" w:rsidRDefault="00156D73">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12065" r="1397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303F555E" w14:textId="77777777" w:rsidR="005B0EF8" w:rsidRDefault="005B0EF8">
      <w:pPr>
        <w:spacing w:line="360" w:lineRule="auto"/>
        <w:ind w:firstLineChars="200" w:firstLine="480"/>
        <w:jc w:val="left"/>
        <w:outlineLvl w:val="0"/>
        <w:rPr>
          <w:color w:val="000000"/>
          <w:sz w:val="24"/>
          <w:u w:val="single"/>
        </w:rPr>
      </w:pPr>
    </w:p>
    <w:p w14:paraId="08BAB438" w14:textId="77777777" w:rsidR="005B0EF8" w:rsidRDefault="005B0EF8">
      <w:pPr>
        <w:spacing w:line="360" w:lineRule="auto"/>
        <w:ind w:firstLineChars="200" w:firstLine="480"/>
        <w:jc w:val="left"/>
        <w:outlineLvl w:val="0"/>
        <w:rPr>
          <w:color w:val="000000"/>
          <w:sz w:val="24"/>
          <w:u w:val="single"/>
        </w:rPr>
      </w:pPr>
    </w:p>
    <w:p w14:paraId="7DA07D3D" w14:textId="77777777" w:rsidR="005B0EF8" w:rsidRDefault="00156D73">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10F19682" w14:textId="77777777" w:rsidR="005B0EF8" w:rsidRDefault="00156D73">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1F27AAC2" w14:textId="77777777" w:rsidR="005B0EF8" w:rsidRDefault="00156D73">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4FCE8A6D" w14:textId="77777777" w:rsidR="005B0EF8" w:rsidRDefault="00156D73">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41A1490C" w14:textId="77777777" w:rsidR="005B0EF8" w:rsidRDefault="00156D73">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5B0EF8">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4AF9E" w14:textId="77777777" w:rsidR="00902403" w:rsidRDefault="00902403">
      <w:r>
        <w:separator/>
      </w:r>
    </w:p>
  </w:endnote>
  <w:endnote w:type="continuationSeparator" w:id="0">
    <w:p w14:paraId="0BE380B9" w14:textId="77777777" w:rsidR="00902403" w:rsidRDefault="0090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sdtPr>
    <w:sdtEndPr/>
    <w:sdtContent>
      <w:p w14:paraId="2FA97D18" w14:textId="77777777" w:rsidR="005B0EF8" w:rsidRDefault="00156D73">
        <w:pPr>
          <w:pStyle w:val="a7"/>
          <w:jc w:val="center"/>
        </w:pPr>
        <w:r>
          <w:fldChar w:fldCharType="begin"/>
        </w:r>
        <w:r>
          <w:instrText xml:space="preserve"> PAGE   \* MERGEFORMAT </w:instrText>
        </w:r>
        <w:r>
          <w:fldChar w:fldCharType="separate"/>
        </w:r>
        <w:r w:rsidR="006107D9" w:rsidRPr="006107D9">
          <w:rPr>
            <w:noProof/>
            <w:lang w:val="zh-CN"/>
          </w:rPr>
          <w:t>3</w:t>
        </w:r>
        <w:r>
          <w:rPr>
            <w:lang w:val="zh-CN"/>
          </w:rPr>
          <w:fldChar w:fldCharType="end"/>
        </w:r>
      </w:p>
    </w:sdtContent>
  </w:sdt>
  <w:p w14:paraId="1430D75D" w14:textId="77777777" w:rsidR="005B0EF8" w:rsidRDefault="005B0E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760A" w14:textId="77777777" w:rsidR="00902403" w:rsidRDefault="00902403">
      <w:r>
        <w:separator/>
      </w:r>
    </w:p>
  </w:footnote>
  <w:footnote w:type="continuationSeparator" w:id="0">
    <w:p w14:paraId="49BD9ECB" w14:textId="77777777" w:rsidR="00902403" w:rsidRDefault="00902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DF32" w14:textId="169743A4" w:rsidR="005B0EF8" w:rsidRDefault="00156D73">
    <w:pPr>
      <w:pStyle w:val="a8"/>
    </w:pPr>
    <w:r>
      <w:rPr>
        <w:rFonts w:hint="eastAsia"/>
        <w:bCs/>
        <w:sz w:val="24"/>
      </w:rPr>
      <w:t>财通多策略升级混合型证券投资基金（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335FF"/>
    <w:rsid w:val="00145AC0"/>
    <w:rsid w:val="001518EE"/>
    <w:rsid w:val="00153334"/>
    <w:rsid w:val="00156D73"/>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0EF8"/>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107D9"/>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E73D4"/>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7F7319"/>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2403"/>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0841"/>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3D92"/>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3E21"/>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248559D6"/>
    <w:rsid w:val="2C0228F4"/>
    <w:rsid w:val="47C64F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8E1D63F8-9171-4BFB-AE13-841E357D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qFormat/>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881D6-8915-4661-8EE3-AF129194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7</cp:revision>
  <cp:lastPrinted>2017-06-19T05:57:00Z</cp:lastPrinted>
  <dcterms:created xsi:type="dcterms:W3CDTF">2021-09-08T06:34:00Z</dcterms:created>
  <dcterms:modified xsi:type="dcterms:W3CDTF">2021-12-30T08:19:00Z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ACFDE830A1E1474EBF235D03886E4265</vt:lpwstr>
  </property>
</Properties>
</file>