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3BCF3" w14:textId="77777777" w:rsidR="00A9397C" w:rsidRPr="006F3E3C" w:rsidRDefault="000F0F7C">
      <w:pPr>
        <w:spacing w:line="360" w:lineRule="auto"/>
        <w:jc w:val="center"/>
        <w:rPr>
          <w:rFonts w:ascii="黑体" w:eastAsia="黑体" w:hAnsi="黑体"/>
          <w:b/>
          <w:sz w:val="32"/>
        </w:rPr>
      </w:pPr>
      <w:r w:rsidRPr="006F3E3C">
        <w:rPr>
          <w:rFonts w:ascii="黑体" w:eastAsia="黑体" w:hAnsi="黑体" w:hint="eastAsia"/>
          <w:b/>
          <w:sz w:val="32"/>
        </w:rPr>
        <w:t>风险揭示书</w:t>
      </w:r>
    </w:p>
    <w:p w14:paraId="1CC49C68" w14:textId="77777777" w:rsidR="00A9397C" w:rsidRPr="006F3E3C" w:rsidRDefault="000F0F7C">
      <w:pPr>
        <w:rPr>
          <w:rFonts w:ascii="Arial" w:hAnsi="Arial" w:cs="Arial"/>
          <w:b/>
          <w:color w:val="000000"/>
          <w:sz w:val="24"/>
          <w:u w:val="single"/>
        </w:rPr>
      </w:pPr>
      <w:r w:rsidRPr="006F3E3C">
        <w:rPr>
          <w:rFonts w:ascii="Arial" w:hAnsi="Arial" w:cs="Arial"/>
          <w:b/>
          <w:noProof/>
          <w:color w:val="000000"/>
          <w:sz w:val="24"/>
          <w:u w:val="single"/>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41275</wp:posOffset>
                </wp:positionV>
                <wp:extent cx="5303520" cy="8255"/>
                <wp:effectExtent l="16510" t="8890" r="1397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3" o:spid="_x0000_s1026" o:spt="32" type="#_x0000_t32" style="position:absolute;left:0pt;flip:y;margin-left:2.05pt;margin-top:3.25pt;height:0.65pt;width:417.6pt;z-index:251660288;mso-width-relative:page;mso-height-relative:page;" filled="f" stroked="t" coordsize="21600,21600" o:gfxdata="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tkegNQA&#10;AAAFAQAADwAAAAAAAAABACAAAAAiAAAAZHJzL2Rvd25yZXYueG1sUEsBAhQAFAAAAAgAh07iQFcw&#10;BSnqAQAA2AMAAA4AAAAAAAAAAQAgAAAAIwEAAGRycy9lMm9Eb2MueG1sUEsFBgAAAAAGAAYAWQEA&#10;AH8FAAAAAA==&#10;">
                <v:fill on="f" focussize="0,0"/>
                <v:stroke weight="1.25pt" color="#000000" joinstyle="round" dashstyle="dash"/>
                <v:imagedata o:title=""/>
                <o:lock v:ext="edit" aspectratio="f"/>
              </v:shape>
            </w:pict>
          </mc:Fallback>
        </mc:AlternateContent>
      </w:r>
    </w:p>
    <w:p w14:paraId="3DB10B70" w14:textId="77777777" w:rsidR="00A9397C" w:rsidRPr="006F3E3C" w:rsidRDefault="000F0F7C">
      <w:pPr>
        <w:spacing w:line="360" w:lineRule="auto"/>
        <w:jc w:val="left"/>
        <w:rPr>
          <w:rFonts w:ascii="Arial" w:hAnsi="Arial" w:cs="Arial"/>
          <w:b/>
          <w:color w:val="000000"/>
          <w:sz w:val="28"/>
          <w:szCs w:val="28"/>
        </w:rPr>
      </w:pPr>
      <w:r w:rsidRPr="006F3E3C">
        <w:rPr>
          <w:rFonts w:ascii="Arial" w:hAnsi="Arial" w:cs="Arial" w:hint="eastAsia"/>
          <w:b/>
          <w:color w:val="000000"/>
          <w:sz w:val="28"/>
          <w:szCs w:val="28"/>
        </w:rPr>
        <w:t>尊敬的投资者：</w:t>
      </w:r>
    </w:p>
    <w:p w14:paraId="4C10905E" w14:textId="77777777" w:rsidR="00A9397C" w:rsidRPr="006F3E3C" w:rsidRDefault="000F0F7C">
      <w:pPr>
        <w:spacing w:line="360" w:lineRule="auto"/>
        <w:ind w:firstLineChars="200" w:firstLine="480"/>
        <w:jc w:val="left"/>
        <w:rPr>
          <w:rFonts w:ascii="Arial" w:hAnsi="Arial" w:cs="Arial"/>
          <w:color w:val="000000"/>
          <w:sz w:val="24"/>
        </w:rPr>
      </w:pPr>
      <w:r w:rsidRPr="006F3E3C">
        <w:rPr>
          <w:rFonts w:ascii="Arial" w:hAnsi="Arial" w:cs="Arial" w:hint="eastAsia"/>
          <w:color w:val="000000"/>
          <w:sz w:val="24"/>
        </w:rPr>
        <w:t>投资有风险，投资需谨慎。公开募集证券投资基金（以下简称</w:t>
      </w:r>
      <w:r w:rsidRPr="006F3E3C">
        <w:rPr>
          <w:rFonts w:ascii="Arial" w:hAnsi="Arial" w:cs="Arial"/>
          <w:color w:val="000000"/>
          <w:sz w:val="24"/>
        </w:rPr>
        <w:t>“</w:t>
      </w:r>
      <w:r w:rsidRPr="006F3E3C">
        <w:rPr>
          <w:rFonts w:ascii="Arial" w:hAnsi="Arial" w:cs="Arial" w:hint="eastAsia"/>
          <w:color w:val="000000"/>
          <w:sz w:val="24"/>
        </w:rPr>
        <w:t>基金</w:t>
      </w:r>
      <w:r w:rsidRPr="006F3E3C">
        <w:rPr>
          <w:rFonts w:ascii="Arial" w:hAnsi="Arial" w:cs="Arial"/>
          <w:color w:val="000000"/>
          <w:sz w:val="24"/>
        </w:rPr>
        <w:t>”</w:t>
      </w:r>
      <w:r w:rsidRPr="006F3E3C">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327F4755" w14:textId="77777777" w:rsidR="00A9397C" w:rsidRPr="006F3E3C" w:rsidRDefault="000F0F7C">
      <w:pPr>
        <w:spacing w:line="360" w:lineRule="auto"/>
        <w:ind w:firstLineChars="200" w:firstLine="480"/>
        <w:jc w:val="left"/>
        <w:rPr>
          <w:rFonts w:ascii="Arial" w:hAnsi="Arial" w:cs="Arial"/>
          <w:color w:val="000000"/>
          <w:sz w:val="24"/>
        </w:rPr>
      </w:pPr>
      <w:r w:rsidRPr="006F3E3C">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6F3E3C">
        <w:rPr>
          <w:rFonts w:ascii="Arial" w:hAnsi="Arial" w:cs="Arial"/>
          <w:color w:val="000000"/>
          <w:sz w:val="24"/>
        </w:rPr>
        <w:t>本基金的过往业绩及其净值高低并不预示其未来业绩表现，基金管理人管理的其他基金的业绩并不构成对本基金业绩表现的保证。</w:t>
      </w:r>
      <w:r w:rsidRPr="006F3E3C">
        <w:rPr>
          <w:rFonts w:hAnsi="宋体"/>
          <w:color w:val="000000"/>
          <w:sz w:val="24"/>
        </w:rPr>
        <w:t>财通基金管理有限公司</w:t>
      </w:r>
      <w:r w:rsidRPr="006F3E3C">
        <w:rPr>
          <w:rFonts w:ascii="Arial" w:hAnsi="Arial" w:cs="Arial"/>
          <w:color w:val="000000"/>
          <w:sz w:val="24"/>
        </w:rPr>
        <w:t>提醒您基金投资的</w:t>
      </w:r>
      <w:r w:rsidRPr="006F3E3C">
        <w:rPr>
          <w:rFonts w:ascii="Arial" w:hAnsi="Arial" w:cs="Arial"/>
          <w:color w:val="000000"/>
          <w:sz w:val="24"/>
        </w:rPr>
        <w:t>“</w:t>
      </w:r>
      <w:r w:rsidRPr="006F3E3C">
        <w:rPr>
          <w:rFonts w:ascii="Arial" w:hAnsi="Arial" w:cs="Arial"/>
          <w:color w:val="000000"/>
          <w:sz w:val="24"/>
        </w:rPr>
        <w:t>买者自负</w:t>
      </w:r>
      <w:r w:rsidRPr="006F3E3C">
        <w:rPr>
          <w:rFonts w:ascii="Arial" w:hAnsi="Arial" w:cs="Arial"/>
          <w:color w:val="000000"/>
          <w:sz w:val="24"/>
        </w:rPr>
        <w:t>”</w:t>
      </w:r>
      <w:r w:rsidRPr="006F3E3C">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57E051E8" w14:textId="77777777" w:rsidR="00A9397C" w:rsidRPr="006F3E3C" w:rsidRDefault="000F0F7C">
      <w:pPr>
        <w:spacing w:line="360" w:lineRule="auto"/>
        <w:ind w:firstLineChars="200" w:firstLine="482"/>
        <w:jc w:val="left"/>
        <w:rPr>
          <w:rFonts w:ascii="Arial" w:hAnsi="Arial" w:cs="Arial"/>
          <w:b/>
          <w:color w:val="000000"/>
          <w:sz w:val="24"/>
          <w:u w:val="single"/>
        </w:rPr>
      </w:pPr>
      <w:r w:rsidRPr="006F3E3C">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53B31CCD" w14:textId="77777777" w:rsidR="00A9397C" w:rsidRPr="006F3E3C" w:rsidRDefault="000F0F7C">
      <w:pPr>
        <w:spacing w:line="360" w:lineRule="auto"/>
        <w:ind w:firstLineChars="200" w:firstLine="480"/>
        <w:jc w:val="left"/>
        <w:rPr>
          <w:rFonts w:ascii="Arial" w:hAnsi="Arial" w:cs="Arial"/>
          <w:color w:val="000000"/>
          <w:sz w:val="24"/>
        </w:rPr>
      </w:pPr>
      <w:r w:rsidRPr="006F3E3C">
        <w:rPr>
          <w:rFonts w:ascii="Arial" w:hAnsi="Arial" w:cs="Arial" w:hint="eastAsia"/>
          <w:color w:val="000000"/>
          <w:sz w:val="24"/>
        </w:rPr>
        <w:t>根据有关法律法规，基金管理人</w:t>
      </w:r>
      <w:r w:rsidRPr="006F3E3C">
        <w:rPr>
          <w:rFonts w:ascii="Arial" w:hAnsi="Arial" w:cs="Arial"/>
          <w:color w:val="000000"/>
          <w:sz w:val="24"/>
        </w:rPr>
        <w:t>/</w:t>
      </w:r>
      <w:r w:rsidRPr="006F3E3C">
        <w:rPr>
          <w:rFonts w:ascii="Arial" w:hAnsi="Arial" w:cs="Arial" w:hint="eastAsia"/>
          <w:color w:val="000000"/>
          <w:sz w:val="24"/>
        </w:rPr>
        <w:t>基金销售机构</w:t>
      </w:r>
      <w:r w:rsidRPr="006F3E3C">
        <w:rPr>
          <w:rFonts w:hAnsi="宋体"/>
          <w:color w:val="000000"/>
          <w:sz w:val="24"/>
        </w:rPr>
        <w:t>财通基金管理有限公司</w:t>
      </w:r>
      <w:r w:rsidRPr="006F3E3C">
        <w:rPr>
          <w:rFonts w:ascii="Arial" w:hAnsi="Arial" w:cs="Arial" w:hint="eastAsia"/>
          <w:color w:val="000000"/>
          <w:sz w:val="24"/>
        </w:rPr>
        <w:t>做出如下风险揭示：</w:t>
      </w:r>
    </w:p>
    <w:p w14:paraId="1964D76A" w14:textId="77777777" w:rsidR="00A9397C" w:rsidRPr="006F3E3C" w:rsidRDefault="000F0F7C">
      <w:pPr>
        <w:spacing w:line="360" w:lineRule="auto"/>
        <w:ind w:firstLineChars="200" w:firstLine="480"/>
        <w:jc w:val="left"/>
        <w:rPr>
          <w:rFonts w:ascii="Arial" w:hAnsi="Arial" w:cs="Arial"/>
          <w:color w:val="000000"/>
          <w:sz w:val="24"/>
        </w:rPr>
      </w:pPr>
      <w:r w:rsidRPr="006F3E3C">
        <w:rPr>
          <w:rFonts w:ascii="Arial" w:hAnsi="Arial" w:cs="Arial" w:hint="eastAsia"/>
          <w:color w:val="000000"/>
          <w:sz w:val="24"/>
        </w:rPr>
        <w:t>一</w:t>
      </w:r>
      <w:r w:rsidRPr="006F3E3C">
        <w:rPr>
          <w:rFonts w:ascii="Arial" w:hAnsi="Arial" w:cs="Arial"/>
          <w:color w:val="000000"/>
          <w:sz w:val="24"/>
        </w:rPr>
        <w:t>、</w:t>
      </w:r>
      <w:r w:rsidRPr="006F3E3C">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4CA8C969" w14:textId="77777777" w:rsidR="00A9397C" w:rsidRPr="006F3E3C" w:rsidRDefault="000F0F7C">
      <w:pPr>
        <w:spacing w:line="360" w:lineRule="auto"/>
        <w:ind w:firstLineChars="200" w:firstLine="480"/>
        <w:jc w:val="left"/>
        <w:rPr>
          <w:rFonts w:ascii="Arial" w:hAnsi="Arial" w:cs="Arial"/>
          <w:color w:val="000000"/>
          <w:sz w:val="24"/>
        </w:rPr>
      </w:pPr>
      <w:r w:rsidRPr="006F3E3C">
        <w:rPr>
          <w:rFonts w:ascii="Arial" w:hAnsi="Arial" w:cs="Arial"/>
          <w:color w:val="000000"/>
          <w:sz w:val="24"/>
        </w:rPr>
        <w:t>二、基金在投资运作过程中可能面临各种风险，既包括市场风险，也包括基金自身的管理风险、技术风险和合规风险等。巨额赎回风险是开放式基金所</w:t>
      </w:r>
      <w:r w:rsidRPr="006F3E3C">
        <w:rPr>
          <w:rFonts w:ascii="Arial" w:hAnsi="Arial" w:cs="Arial"/>
          <w:color w:val="000000"/>
          <w:sz w:val="24"/>
        </w:rPr>
        <w:lastRenderedPageBreak/>
        <w:t>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02439B10" w14:textId="77777777" w:rsidR="00A9397C" w:rsidRPr="006F3E3C" w:rsidRDefault="000F0F7C">
      <w:pPr>
        <w:spacing w:line="360" w:lineRule="auto"/>
        <w:ind w:firstLineChars="200" w:firstLine="480"/>
        <w:jc w:val="left"/>
        <w:rPr>
          <w:rFonts w:ascii="Arial" w:hAnsi="Arial" w:cs="Arial"/>
          <w:color w:val="000000"/>
          <w:sz w:val="24"/>
        </w:rPr>
      </w:pPr>
      <w:r w:rsidRPr="006F3E3C">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76A06716" w14:textId="77777777" w:rsidR="00A9397C" w:rsidRPr="006F3E3C" w:rsidRDefault="000F0F7C">
      <w:pPr>
        <w:spacing w:line="360" w:lineRule="auto"/>
        <w:ind w:firstLineChars="200" w:firstLine="480"/>
        <w:jc w:val="left"/>
        <w:rPr>
          <w:rFonts w:ascii="Arial" w:hAnsi="Arial" w:cs="Arial"/>
          <w:color w:val="000000"/>
          <w:sz w:val="24"/>
        </w:rPr>
      </w:pPr>
      <w:r w:rsidRPr="006F3E3C">
        <w:rPr>
          <w:rFonts w:ascii="Arial" w:hAnsi="Arial" w:cs="Arial" w:hint="eastAsia"/>
          <w:color w:val="000000"/>
          <w:sz w:val="24"/>
        </w:rPr>
        <w:t>四、本基金</w:t>
      </w:r>
      <w:r w:rsidRPr="006F3E3C">
        <w:rPr>
          <w:rFonts w:ascii="Arial" w:hAnsi="Arial" w:cs="Arial"/>
          <w:color w:val="000000"/>
          <w:sz w:val="24"/>
        </w:rPr>
        <w:t>情况</w:t>
      </w:r>
    </w:p>
    <w:p w14:paraId="029FB2A1" w14:textId="77777777" w:rsidR="00A9397C" w:rsidRPr="006F3E3C" w:rsidRDefault="000F0F7C">
      <w:pPr>
        <w:spacing w:line="360" w:lineRule="auto"/>
        <w:ind w:firstLineChars="200" w:firstLine="480"/>
        <w:jc w:val="left"/>
        <w:rPr>
          <w:rFonts w:hAnsi="宋体"/>
          <w:color w:val="000000"/>
          <w:sz w:val="24"/>
        </w:rPr>
      </w:pPr>
      <w:r w:rsidRPr="006F3E3C">
        <w:rPr>
          <w:rFonts w:hAnsi="宋体" w:hint="eastAsia"/>
          <w:color w:val="000000"/>
          <w:sz w:val="24"/>
        </w:rPr>
        <w:t>（一）本基金基金</w:t>
      </w:r>
      <w:r w:rsidRPr="006F3E3C">
        <w:rPr>
          <w:rFonts w:hAnsi="宋体"/>
          <w:color w:val="000000"/>
          <w:sz w:val="24"/>
        </w:rPr>
        <w:t>管理人</w:t>
      </w:r>
      <w:r w:rsidRPr="006F3E3C">
        <w:rPr>
          <w:rFonts w:hAnsi="宋体" w:hint="eastAsia"/>
          <w:color w:val="000000"/>
          <w:sz w:val="24"/>
        </w:rPr>
        <w:t>、</w:t>
      </w:r>
      <w:r w:rsidRPr="006F3E3C">
        <w:rPr>
          <w:rFonts w:hAnsi="宋体"/>
          <w:color w:val="000000"/>
          <w:sz w:val="24"/>
        </w:rPr>
        <w:t>登记机构</w:t>
      </w:r>
      <w:r w:rsidRPr="006F3E3C">
        <w:rPr>
          <w:rFonts w:hAnsi="宋体" w:hint="eastAsia"/>
          <w:color w:val="000000"/>
          <w:sz w:val="24"/>
        </w:rPr>
        <w:t>、</w:t>
      </w:r>
      <w:r w:rsidRPr="006F3E3C">
        <w:rPr>
          <w:rFonts w:hAnsi="宋体"/>
          <w:color w:val="000000"/>
          <w:sz w:val="24"/>
        </w:rPr>
        <w:t>直销机构</w:t>
      </w:r>
      <w:r w:rsidRPr="006F3E3C">
        <w:rPr>
          <w:rFonts w:hAnsi="宋体" w:hint="eastAsia"/>
          <w:color w:val="000000"/>
          <w:sz w:val="24"/>
        </w:rPr>
        <w:t>为</w:t>
      </w:r>
      <w:r w:rsidRPr="006F3E3C">
        <w:rPr>
          <w:rFonts w:hAnsi="宋体"/>
          <w:color w:val="000000"/>
          <w:sz w:val="24"/>
        </w:rPr>
        <w:t>财通基金管理有限公司，</w:t>
      </w:r>
      <w:r w:rsidRPr="006F3E3C">
        <w:rPr>
          <w:rFonts w:hAnsi="宋体" w:hint="eastAsia"/>
          <w:color w:val="000000"/>
          <w:sz w:val="24"/>
        </w:rPr>
        <w:t>基金</w:t>
      </w:r>
      <w:r w:rsidRPr="006F3E3C">
        <w:rPr>
          <w:rFonts w:hAnsi="宋体"/>
          <w:color w:val="000000"/>
          <w:sz w:val="24"/>
        </w:rPr>
        <w:t>托管人为</w:t>
      </w:r>
      <w:r w:rsidRPr="006F3E3C">
        <w:rPr>
          <w:rFonts w:hAnsi="宋体" w:hint="eastAsia"/>
          <w:color w:val="000000"/>
          <w:sz w:val="24"/>
        </w:rPr>
        <w:t>中国工商银行股份有限公司，</w:t>
      </w:r>
      <w:r w:rsidRPr="006F3E3C">
        <w:rPr>
          <w:rFonts w:hAnsi="宋体"/>
          <w:color w:val="000000"/>
          <w:sz w:val="24"/>
        </w:rPr>
        <w:t>基金代销机构详见</w:t>
      </w:r>
      <w:r w:rsidRPr="006F3E3C">
        <w:rPr>
          <w:rFonts w:hAnsi="宋体" w:hint="eastAsia"/>
          <w:color w:val="000000"/>
          <w:sz w:val="24"/>
        </w:rPr>
        <w:t>基金</w:t>
      </w:r>
      <w:r w:rsidRPr="006F3E3C">
        <w:rPr>
          <w:rFonts w:hAnsi="宋体"/>
          <w:color w:val="000000"/>
          <w:sz w:val="24"/>
        </w:rPr>
        <w:t>管理人官方网站</w:t>
      </w:r>
      <w:r w:rsidRPr="006F3E3C">
        <w:rPr>
          <w:rFonts w:hAnsi="宋体" w:hint="eastAsia"/>
          <w:color w:val="000000"/>
          <w:sz w:val="24"/>
        </w:rPr>
        <w:t>（</w:t>
      </w:r>
      <w:hyperlink r:id="rId8" w:history="1">
        <w:r w:rsidRPr="006F3E3C">
          <w:rPr>
            <w:rStyle w:val="ac"/>
            <w:rFonts w:hAnsi="宋体"/>
            <w:sz w:val="24"/>
          </w:rPr>
          <w:t>www.ctfund.com</w:t>
        </w:r>
      </w:hyperlink>
      <w:r w:rsidRPr="006F3E3C">
        <w:rPr>
          <w:rFonts w:hAnsi="宋体" w:hint="eastAsia"/>
          <w:color w:val="000000"/>
          <w:sz w:val="24"/>
        </w:rPr>
        <w:t>）。</w:t>
      </w:r>
    </w:p>
    <w:p w14:paraId="1D9DA1C3" w14:textId="77777777" w:rsidR="00A9397C" w:rsidRPr="006F3E3C" w:rsidRDefault="000F0F7C">
      <w:pPr>
        <w:spacing w:line="360" w:lineRule="auto"/>
        <w:ind w:firstLineChars="200" w:firstLine="480"/>
        <w:jc w:val="left"/>
        <w:rPr>
          <w:rFonts w:hAnsi="宋体"/>
          <w:color w:val="000000"/>
          <w:sz w:val="24"/>
        </w:rPr>
      </w:pPr>
      <w:r w:rsidRPr="006F3E3C">
        <w:rPr>
          <w:rFonts w:hAnsi="宋体" w:hint="eastAsia"/>
          <w:color w:val="000000"/>
          <w:sz w:val="24"/>
        </w:rPr>
        <w:t>（二）</w:t>
      </w:r>
      <w:r w:rsidRPr="006F3E3C">
        <w:rPr>
          <w:rFonts w:hAnsi="宋体"/>
          <w:color w:val="000000"/>
          <w:sz w:val="24"/>
        </w:rPr>
        <w:t>本基金</w:t>
      </w:r>
      <w:r w:rsidRPr="006F3E3C">
        <w:rPr>
          <w:rFonts w:hAnsi="宋体" w:hint="eastAsia"/>
          <w:color w:val="000000"/>
          <w:sz w:val="24"/>
        </w:rPr>
        <w:t>支付基金</w:t>
      </w:r>
      <w:r w:rsidRPr="006F3E3C">
        <w:rPr>
          <w:rFonts w:hAnsi="宋体"/>
          <w:color w:val="000000"/>
          <w:sz w:val="24"/>
        </w:rPr>
        <w:t>管理人的</w:t>
      </w:r>
      <w:r w:rsidRPr="006F3E3C">
        <w:rPr>
          <w:rFonts w:hAnsi="宋体" w:hint="eastAsia"/>
          <w:color w:val="000000"/>
          <w:sz w:val="24"/>
        </w:rPr>
        <w:t>年</w:t>
      </w:r>
      <w:r w:rsidRPr="006F3E3C">
        <w:rPr>
          <w:rFonts w:hAnsi="宋体"/>
          <w:color w:val="000000"/>
          <w:sz w:val="24"/>
        </w:rPr>
        <w:t>管理费率为</w:t>
      </w:r>
      <w:r w:rsidRPr="006F3E3C">
        <w:rPr>
          <w:rFonts w:hAnsi="宋体" w:hint="eastAsia"/>
          <w:color w:val="000000"/>
          <w:sz w:val="24"/>
        </w:rPr>
        <w:t>0.3</w:t>
      </w:r>
      <w:r w:rsidRPr="006F3E3C">
        <w:rPr>
          <w:rFonts w:hAnsi="宋体"/>
          <w:color w:val="000000"/>
          <w:sz w:val="24"/>
        </w:rPr>
        <w:t>%</w:t>
      </w:r>
      <w:r w:rsidRPr="006F3E3C">
        <w:rPr>
          <w:rFonts w:hAnsi="宋体" w:hint="eastAsia"/>
          <w:color w:val="000000"/>
          <w:sz w:val="24"/>
        </w:rPr>
        <w:t>，支付</w:t>
      </w:r>
      <w:r w:rsidRPr="006F3E3C">
        <w:rPr>
          <w:rFonts w:hAnsi="宋体"/>
          <w:color w:val="000000"/>
          <w:sz w:val="24"/>
        </w:rPr>
        <w:t>基金托管人的年</w:t>
      </w:r>
      <w:r w:rsidRPr="006F3E3C">
        <w:rPr>
          <w:rFonts w:hAnsi="宋体" w:hint="eastAsia"/>
          <w:color w:val="000000"/>
          <w:sz w:val="24"/>
        </w:rPr>
        <w:t>托管</w:t>
      </w:r>
      <w:r w:rsidRPr="006F3E3C">
        <w:rPr>
          <w:rFonts w:hAnsi="宋体"/>
          <w:color w:val="000000"/>
          <w:sz w:val="24"/>
        </w:rPr>
        <w:t>费率为</w:t>
      </w:r>
      <w:r w:rsidRPr="006F3E3C">
        <w:rPr>
          <w:rFonts w:hAnsi="宋体" w:hint="eastAsia"/>
          <w:color w:val="000000"/>
          <w:sz w:val="24"/>
        </w:rPr>
        <w:t>0.1</w:t>
      </w:r>
      <w:r w:rsidRPr="006F3E3C">
        <w:rPr>
          <w:rFonts w:hAnsi="宋体"/>
          <w:color w:val="000000"/>
          <w:sz w:val="24"/>
        </w:rPr>
        <w:t>%</w:t>
      </w:r>
      <w:r w:rsidRPr="006F3E3C">
        <w:rPr>
          <w:rFonts w:hAnsi="宋体" w:hint="eastAsia"/>
          <w:color w:val="000000"/>
          <w:sz w:val="24"/>
        </w:rPr>
        <w:t>，其他费用详见招募说明书</w:t>
      </w:r>
      <w:r w:rsidRPr="006F3E3C">
        <w:rPr>
          <w:rFonts w:hAnsi="宋体"/>
          <w:color w:val="000000"/>
          <w:sz w:val="24"/>
        </w:rPr>
        <w:t>。</w:t>
      </w:r>
    </w:p>
    <w:p w14:paraId="72D97023" w14:textId="77777777" w:rsidR="00A9397C" w:rsidRPr="006F3E3C" w:rsidRDefault="000F0F7C">
      <w:pPr>
        <w:spacing w:line="360" w:lineRule="auto"/>
        <w:ind w:firstLineChars="200" w:firstLine="480"/>
        <w:rPr>
          <w:rFonts w:ascii="宋体" w:hAnsi="宋体"/>
          <w:color w:val="000000"/>
          <w:sz w:val="24"/>
        </w:rPr>
      </w:pPr>
      <w:r w:rsidRPr="006F3E3C">
        <w:rPr>
          <w:rFonts w:hAnsi="宋体" w:hint="eastAsia"/>
          <w:color w:val="000000"/>
          <w:sz w:val="24"/>
        </w:rPr>
        <w:t>（三）本基金基金</w:t>
      </w:r>
      <w:r w:rsidRPr="006F3E3C">
        <w:rPr>
          <w:rFonts w:hAnsi="宋体"/>
          <w:color w:val="000000"/>
          <w:sz w:val="24"/>
        </w:rPr>
        <w:t>合同期限不定，</w:t>
      </w:r>
      <w:r w:rsidRPr="006F3E3C">
        <w:rPr>
          <w:rFonts w:hAnsi="宋体" w:hint="eastAsia"/>
          <w:color w:val="000000"/>
          <w:sz w:val="24"/>
        </w:rPr>
        <w:t>为契约型开放式基金</w:t>
      </w:r>
      <w:r w:rsidRPr="006F3E3C">
        <w:rPr>
          <w:rFonts w:hint="eastAsia"/>
          <w:bCs/>
          <w:sz w:val="24"/>
        </w:rPr>
        <w:t>。</w:t>
      </w:r>
    </w:p>
    <w:p w14:paraId="0FD367FC" w14:textId="221B814C" w:rsidR="00A9397C" w:rsidRPr="006F3E3C" w:rsidRDefault="000F0F7C">
      <w:pPr>
        <w:spacing w:line="360" w:lineRule="auto"/>
        <w:ind w:firstLineChars="200" w:firstLine="480"/>
        <w:jc w:val="left"/>
        <w:rPr>
          <w:rFonts w:hAnsi="宋体"/>
          <w:color w:val="000000"/>
          <w:sz w:val="24"/>
        </w:rPr>
      </w:pPr>
      <w:r w:rsidRPr="006F3E3C">
        <w:rPr>
          <w:rFonts w:hAnsi="宋体" w:hint="eastAsia"/>
          <w:color w:val="000000"/>
          <w:sz w:val="24"/>
        </w:rPr>
        <w:t>（四）本基金的特有风险：</w:t>
      </w:r>
    </w:p>
    <w:p w14:paraId="3C48E492" w14:textId="143C09E4" w:rsidR="00A9397C" w:rsidRPr="006F3E3C" w:rsidRDefault="000F0F7C">
      <w:pPr>
        <w:spacing w:line="360" w:lineRule="auto"/>
        <w:ind w:firstLineChars="200" w:firstLine="482"/>
        <w:rPr>
          <w:rFonts w:hAnsi="宋体"/>
          <w:color w:val="000000"/>
          <w:sz w:val="24"/>
        </w:rPr>
      </w:pPr>
      <w:r w:rsidRPr="006F3E3C">
        <w:rPr>
          <w:rFonts w:hAnsi="宋体" w:hint="eastAsia"/>
          <w:b/>
          <w:bCs/>
          <w:sz w:val="24"/>
        </w:rPr>
        <w:t>1</w:t>
      </w:r>
      <w:r w:rsidRPr="006F3E3C">
        <w:rPr>
          <w:rFonts w:hAnsi="宋体" w:hint="eastAsia"/>
          <w:b/>
          <w:bCs/>
          <w:sz w:val="24"/>
        </w:rPr>
        <w:t>、本基金为债券型基金，风险等级为</w:t>
      </w:r>
      <w:r w:rsidRPr="006F3E3C">
        <w:rPr>
          <w:rFonts w:hAnsi="宋体"/>
          <w:b/>
          <w:bCs/>
          <w:sz w:val="24"/>
        </w:rPr>
        <w:t>R2</w:t>
      </w:r>
      <w:r w:rsidRPr="006F3E3C">
        <w:rPr>
          <w:rFonts w:hAnsi="宋体" w:hint="eastAsia"/>
          <w:b/>
          <w:bCs/>
          <w:sz w:val="24"/>
        </w:rPr>
        <w:t>等级。</w:t>
      </w:r>
    </w:p>
    <w:p w14:paraId="53758D74" w14:textId="608FCE54" w:rsidR="00A9397C" w:rsidRPr="006F3E3C" w:rsidRDefault="000F0F7C">
      <w:pPr>
        <w:spacing w:line="360" w:lineRule="auto"/>
        <w:ind w:firstLineChars="200" w:firstLine="480"/>
        <w:rPr>
          <w:rFonts w:hAnsi="宋体"/>
          <w:color w:val="000000"/>
          <w:sz w:val="24"/>
        </w:rPr>
      </w:pPr>
      <w:r w:rsidRPr="006F3E3C">
        <w:rPr>
          <w:rFonts w:hAnsi="宋体"/>
          <w:sz w:val="24"/>
        </w:rPr>
        <w:t>2</w:t>
      </w:r>
      <w:r w:rsidRPr="006F3E3C">
        <w:rPr>
          <w:rFonts w:hAnsi="宋体"/>
          <w:sz w:val="24"/>
        </w:rPr>
        <w:t>、</w:t>
      </w:r>
      <w:r w:rsidRPr="006F3E3C">
        <w:rPr>
          <w:rFonts w:hAnsi="宋体" w:hint="eastAsia"/>
          <w:sz w:val="24"/>
        </w:rPr>
        <w:t>本基金主要投资于固定收益类品种，本基金投资策略在理论上可以降低本金损失的风险、锁定投资收益，但在实际投资中，可能由于市场环境急剧变化的影响导致本策略不能有效发挥功效，并产生一定的本金或已获取收益损失的风险。本基金管理人将发挥专业研究优势，加强对市场、固定收益类产品和上市公司基本面等的深入研究，持续优化组合配置，以控制本金损失风险。</w:t>
      </w:r>
    </w:p>
    <w:p w14:paraId="5FC081DE" w14:textId="77777777" w:rsidR="00A9397C" w:rsidRPr="006F3E3C" w:rsidRDefault="000F0F7C">
      <w:pPr>
        <w:spacing w:line="360" w:lineRule="auto"/>
        <w:ind w:firstLineChars="200" w:firstLine="480"/>
        <w:rPr>
          <w:kern w:val="0"/>
          <w:sz w:val="24"/>
        </w:rPr>
      </w:pPr>
      <w:r w:rsidRPr="006F3E3C">
        <w:rPr>
          <w:rFonts w:hint="eastAsia"/>
          <w:kern w:val="0"/>
          <w:sz w:val="24"/>
        </w:rPr>
        <w:t>3</w:t>
      </w:r>
      <w:r w:rsidRPr="006F3E3C">
        <w:rPr>
          <w:kern w:val="0"/>
          <w:sz w:val="24"/>
        </w:rPr>
        <w:t>、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7742FC9C" w14:textId="77777777" w:rsidR="00A9397C" w:rsidRPr="006F3E3C" w:rsidRDefault="000F0F7C">
      <w:pPr>
        <w:spacing w:line="360" w:lineRule="auto"/>
        <w:ind w:firstLineChars="200" w:firstLine="480"/>
        <w:rPr>
          <w:color w:val="000000" w:themeColor="text1"/>
          <w:sz w:val="24"/>
        </w:rPr>
      </w:pPr>
      <w:r w:rsidRPr="006F3E3C">
        <w:rPr>
          <w:rFonts w:hint="eastAsia"/>
          <w:color w:val="000000"/>
          <w:sz w:val="24"/>
        </w:rPr>
        <w:t>4</w:t>
      </w:r>
      <w:r w:rsidRPr="006F3E3C">
        <w:rPr>
          <w:rFonts w:hint="eastAsia"/>
          <w:bCs/>
          <w:color w:val="000000"/>
          <w:sz w:val="24"/>
        </w:rPr>
        <w:t>、本基金</w:t>
      </w:r>
      <w:r w:rsidRPr="006F3E3C">
        <w:rPr>
          <w:bCs/>
          <w:color w:val="000000"/>
          <w:sz w:val="24"/>
        </w:rPr>
        <w:t>可</w:t>
      </w:r>
      <w:r w:rsidRPr="006F3E3C">
        <w:rPr>
          <w:rFonts w:hint="eastAsia"/>
          <w:bCs/>
          <w:color w:val="000000"/>
          <w:sz w:val="24"/>
        </w:rPr>
        <w:t>投资</w:t>
      </w:r>
      <w:r w:rsidRPr="006F3E3C">
        <w:rPr>
          <w:bCs/>
          <w:color w:val="000000"/>
          <w:sz w:val="24"/>
        </w:rPr>
        <w:t>于</w:t>
      </w:r>
      <w:r w:rsidRPr="006F3E3C">
        <w:rPr>
          <w:rFonts w:hint="eastAsia"/>
          <w:color w:val="000000" w:themeColor="text1"/>
          <w:sz w:val="24"/>
        </w:rPr>
        <w:t>资产支持证券，资产支持证券的风险主要与资产质量有关，比如债务人违约可能性的高低、债务人行使抵消权可能性的高低，资产收益</w:t>
      </w:r>
      <w:r w:rsidRPr="006F3E3C">
        <w:rPr>
          <w:rFonts w:hint="eastAsia"/>
          <w:color w:val="000000" w:themeColor="text1"/>
          <w:sz w:val="24"/>
        </w:rPr>
        <w:lastRenderedPageBreak/>
        <w:t>受自然灾害、战争、罢工的影响程度，资产收益与外部经济环境变化的相关性等。如果资产支持证券受上述因素的影响程度低，则资产风险小，反之则风险高。</w:t>
      </w:r>
    </w:p>
    <w:p w14:paraId="5FE1DA24" w14:textId="77777777" w:rsidR="00A9397C" w:rsidRPr="006F3E3C" w:rsidRDefault="000F0F7C">
      <w:pPr>
        <w:spacing w:line="360" w:lineRule="auto"/>
        <w:ind w:firstLineChars="200" w:firstLine="480"/>
        <w:jc w:val="left"/>
        <w:rPr>
          <w:bCs/>
          <w:color w:val="000000"/>
          <w:sz w:val="24"/>
        </w:rPr>
      </w:pPr>
      <w:r w:rsidRPr="006F3E3C">
        <w:rPr>
          <w:rFonts w:hint="eastAsia"/>
          <w:bCs/>
          <w:color w:val="000000"/>
          <w:sz w:val="24"/>
        </w:rPr>
        <w:t>（五）</w:t>
      </w:r>
      <w:r w:rsidRPr="006F3E3C">
        <w:rPr>
          <w:bCs/>
          <w:color w:val="000000"/>
          <w:sz w:val="24"/>
        </w:rPr>
        <w:t>本基金的其他风险</w:t>
      </w:r>
    </w:p>
    <w:p w14:paraId="54785FF4" w14:textId="77777777" w:rsidR="00A9397C" w:rsidRPr="006F3E3C" w:rsidRDefault="000F0F7C">
      <w:pPr>
        <w:spacing w:line="360" w:lineRule="auto"/>
        <w:ind w:firstLineChars="200" w:firstLine="480"/>
        <w:jc w:val="left"/>
        <w:rPr>
          <w:rFonts w:ascii="Arial" w:hAnsi="Arial" w:cs="Arial"/>
          <w:color w:val="000000"/>
          <w:sz w:val="24"/>
        </w:rPr>
      </w:pPr>
      <w:r w:rsidRPr="006F3E3C">
        <w:rPr>
          <w:rFonts w:hint="eastAsia"/>
          <w:color w:val="000000" w:themeColor="text1"/>
          <w:sz w:val="24"/>
        </w:rPr>
        <w:t>本基金为证券投资基金，证券市场的变化将影响到基金的业绩。因此，宏观和微观经济因素、国家政策、市场变动、行业与</w:t>
      </w:r>
      <w:r w:rsidRPr="006F3E3C">
        <w:rPr>
          <w:color w:val="000000" w:themeColor="text1"/>
          <w:sz w:val="24"/>
        </w:rPr>
        <w:t>个股</w:t>
      </w:r>
      <w:r w:rsidRPr="006F3E3C">
        <w:rPr>
          <w:rFonts w:hint="eastAsia"/>
          <w:color w:val="000000" w:themeColor="text1"/>
          <w:sz w:val="24"/>
        </w:rPr>
        <w:t>、个券业绩的变化、投资人风险收益偏好和市场流动程度等影响证券市场的各种因素将影响到本基金业绩，从而产生市场风险。</w:t>
      </w:r>
    </w:p>
    <w:p w14:paraId="2905F32D" w14:textId="77777777" w:rsidR="00A9397C" w:rsidRPr="006F3E3C" w:rsidRDefault="000F0F7C">
      <w:pPr>
        <w:spacing w:line="360" w:lineRule="auto"/>
        <w:ind w:firstLineChars="200" w:firstLine="480"/>
        <w:rPr>
          <w:color w:val="000000" w:themeColor="text1"/>
          <w:sz w:val="24"/>
        </w:rPr>
      </w:pPr>
      <w:r w:rsidRPr="006F3E3C">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644ECF86" w14:textId="77777777" w:rsidR="00A9397C" w:rsidRPr="006F3E3C" w:rsidRDefault="000F0F7C">
      <w:pPr>
        <w:spacing w:line="360" w:lineRule="auto"/>
        <w:ind w:firstLineChars="200" w:firstLine="480"/>
        <w:rPr>
          <w:color w:val="000000"/>
          <w:sz w:val="24"/>
        </w:rPr>
      </w:pPr>
      <w:r w:rsidRPr="006F3E3C">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E7C4124" w14:textId="77777777" w:rsidR="00A9397C" w:rsidRPr="006F3E3C" w:rsidRDefault="000F0F7C">
      <w:pPr>
        <w:spacing w:line="360" w:lineRule="auto"/>
        <w:ind w:firstLineChars="200" w:firstLine="480"/>
        <w:jc w:val="left"/>
        <w:rPr>
          <w:rFonts w:ascii="Arial" w:hAnsi="Arial" w:cs="Arial"/>
          <w:color w:val="000000"/>
          <w:sz w:val="24"/>
        </w:rPr>
      </w:pPr>
      <w:r w:rsidRPr="006F3E3C">
        <w:rPr>
          <w:rFonts w:hint="eastAsia"/>
          <w:color w:val="000000" w:themeColor="text1"/>
          <w:sz w:val="24"/>
        </w:rPr>
        <w:t>当计算机、通讯系统、交易网络等技术保障系统或信息网络支持出现异常情况，</w:t>
      </w:r>
      <w:r w:rsidRPr="006F3E3C">
        <w:rPr>
          <w:color w:val="000000" w:themeColor="text1"/>
          <w:sz w:val="24"/>
        </w:rPr>
        <w:t>本基金可能面临技术风险</w:t>
      </w:r>
      <w:r w:rsidRPr="006F3E3C">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44E2B365" w14:textId="7BBB859F" w:rsidR="00A9397C" w:rsidRPr="006F3E3C" w:rsidRDefault="000F0F7C">
      <w:pPr>
        <w:spacing w:line="360" w:lineRule="auto"/>
        <w:ind w:firstLineChars="200" w:firstLine="480"/>
        <w:rPr>
          <w:rFonts w:hAnsi="宋体"/>
          <w:color w:val="000000"/>
          <w:sz w:val="24"/>
        </w:rPr>
      </w:pPr>
      <w:r w:rsidRPr="006F3E3C">
        <w:rPr>
          <w:rFonts w:hAnsi="宋体" w:hint="eastAsia"/>
          <w:color w:val="000000"/>
          <w:sz w:val="24"/>
        </w:rPr>
        <w:t>（六）您享有如下权利：</w:t>
      </w:r>
      <w:r w:rsidRPr="006F3E3C">
        <w:rPr>
          <w:rFonts w:hAnsi="宋体"/>
          <w:color w:val="000000"/>
          <w:sz w:val="24"/>
        </w:rPr>
        <w:t>1</w:t>
      </w:r>
      <w:r w:rsidRPr="006F3E3C">
        <w:rPr>
          <w:rFonts w:hAnsi="宋体" w:hint="eastAsia"/>
          <w:color w:val="000000"/>
          <w:sz w:val="24"/>
        </w:rPr>
        <w:t>、分享基金收益；</w:t>
      </w:r>
      <w:r w:rsidRPr="006F3E3C">
        <w:rPr>
          <w:rFonts w:hAnsi="宋体"/>
          <w:color w:val="000000"/>
          <w:sz w:val="24"/>
        </w:rPr>
        <w:t>2</w:t>
      </w:r>
      <w:r w:rsidRPr="006F3E3C">
        <w:rPr>
          <w:rFonts w:hAnsi="宋体" w:hint="eastAsia"/>
          <w:color w:val="000000"/>
          <w:sz w:val="24"/>
        </w:rPr>
        <w:t>、参与清算分配；</w:t>
      </w:r>
      <w:r w:rsidRPr="006F3E3C">
        <w:rPr>
          <w:rFonts w:hAnsi="宋体"/>
          <w:color w:val="000000"/>
          <w:sz w:val="24"/>
        </w:rPr>
        <w:t>3</w:t>
      </w:r>
      <w:r w:rsidRPr="006F3E3C">
        <w:rPr>
          <w:rFonts w:hAnsi="宋体" w:hint="eastAsia"/>
          <w:color w:val="000000"/>
          <w:sz w:val="24"/>
        </w:rPr>
        <w:t>、申赎或依法转让基金份额；</w:t>
      </w:r>
      <w:r w:rsidRPr="006F3E3C">
        <w:rPr>
          <w:rFonts w:hAnsi="宋体"/>
          <w:color w:val="000000"/>
          <w:sz w:val="24"/>
        </w:rPr>
        <w:t>4</w:t>
      </w:r>
      <w:r w:rsidRPr="006F3E3C">
        <w:rPr>
          <w:rFonts w:hAnsi="宋体" w:hint="eastAsia"/>
          <w:color w:val="000000"/>
          <w:sz w:val="24"/>
        </w:rPr>
        <w:t>、召开或召集持有人大会，并行使表决权；</w:t>
      </w:r>
      <w:r w:rsidRPr="006F3E3C">
        <w:rPr>
          <w:rFonts w:hAnsi="宋体"/>
          <w:color w:val="000000"/>
          <w:sz w:val="24"/>
        </w:rPr>
        <w:t>5</w:t>
      </w:r>
      <w:r w:rsidRPr="006F3E3C">
        <w:rPr>
          <w:rFonts w:hAnsi="宋体" w:hint="eastAsia"/>
          <w:color w:val="000000"/>
          <w:sz w:val="24"/>
        </w:rPr>
        <w:t>、查阅或复制信批资料；</w:t>
      </w:r>
      <w:r w:rsidRPr="006F3E3C">
        <w:rPr>
          <w:rFonts w:hAnsi="宋体"/>
          <w:color w:val="000000"/>
          <w:sz w:val="24"/>
        </w:rPr>
        <w:t>6</w:t>
      </w:r>
      <w:r w:rsidRPr="006F3E3C">
        <w:rPr>
          <w:rFonts w:hAnsi="宋体" w:hint="eastAsia"/>
          <w:color w:val="000000"/>
          <w:sz w:val="24"/>
        </w:rPr>
        <w:t>、监督管理人投资运作；</w:t>
      </w:r>
      <w:r w:rsidRPr="006F3E3C">
        <w:rPr>
          <w:rFonts w:hAnsi="宋体"/>
          <w:color w:val="000000"/>
          <w:sz w:val="24"/>
        </w:rPr>
        <w:t>7</w:t>
      </w:r>
      <w:r w:rsidRPr="006F3E3C">
        <w:rPr>
          <w:rFonts w:hAnsi="宋体" w:hint="eastAsia"/>
          <w:color w:val="000000"/>
          <w:sz w:val="24"/>
        </w:rPr>
        <w:t>、依法提起诉讼或仲裁；</w:t>
      </w:r>
      <w:r w:rsidRPr="006F3E3C">
        <w:rPr>
          <w:rFonts w:hAnsi="宋体"/>
          <w:color w:val="000000"/>
          <w:sz w:val="24"/>
        </w:rPr>
        <w:t>8</w:t>
      </w:r>
      <w:r w:rsidRPr="006F3E3C">
        <w:rPr>
          <w:rFonts w:hAnsi="宋体" w:hint="eastAsia"/>
          <w:color w:val="000000"/>
          <w:sz w:val="24"/>
        </w:rPr>
        <w:t>、法律法规和《基金合同》规定的其他。</w:t>
      </w:r>
    </w:p>
    <w:p w14:paraId="4808F359" w14:textId="77777777" w:rsidR="00A9397C" w:rsidRPr="006F3E3C" w:rsidRDefault="000F0F7C">
      <w:pPr>
        <w:spacing w:line="360" w:lineRule="auto"/>
        <w:ind w:firstLineChars="200" w:firstLine="480"/>
        <w:jc w:val="left"/>
        <w:rPr>
          <w:bCs/>
          <w:sz w:val="24"/>
        </w:rPr>
      </w:pPr>
      <w:r w:rsidRPr="006F3E3C">
        <w:rPr>
          <w:rFonts w:hint="eastAsia"/>
          <w:bCs/>
          <w:sz w:val="24"/>
        </w:rPr>
        <w:t>基金</w:t>
      </w:r>
      <w:r w:rsidRPr="006F3E3C">
        <w:rPr>
          <w:bCs/>
          <w:sz w:val="24"/>
        </w:rPr>
        <w:t>份额持有人的义务包括：</w:t>
      </w:r>
      <w:r w:rsidRPr="006F3E3C">
        <w:rPr>
          <w:bCs/>
          <w:sz w:val="24"/>
        </w:rPr>
        <w:t>1</w:t>
      </w:r>
      <w:r w:rsidRPr="006F3E3C">
        <w:rPr>
          <w:rFonts w:hint="eastAsia"/>
          <w:bCs/>
          <w:sz w:val="24"/>
        </w:rPr>
        <w:t>、认真阅读并遵守《基金合同》；</w:t>
      </w:r>
      <w:r w:rsidRPr="006F3E3C">
        <w:rPr>
          <w:bCs/>
          <w:sz w:val="24"/>
        </w:rPr>
        <w:t>2</w:t>
      </w:r>
      <w:r w:rsidRPr="006F3E3C">
        <w:rPr>
          <w:rFonts w:hint="eastAsia"/>
          <w:bCs/>
          <w:sz w:val="24"/>
        </w:rPr>
        <w:t>、了解所投资基金产品，了解自身风险承受能力，自行承担投资风险；</w:t>
      </w:r>
      <w:r w:rsidRPr="006F3E3C">
        <w:rPr>
          <w:bCs/>
          <w:sz w:val="24"/>
        </w:rPr>
        <w:t>3</w:t>
      </w:r>
      <w:r w:rsidRPr="006F3E3C">
        <w:rPr>
          <w:rFonts w:hint="eastAsia"/>
          <w:bCs/>
          <w:sz w:val="24"/>
        </w:rPr>
        <w:t>、关注基金信息披露，及时行使权利和履行义务；</w:t>
      </w:r>
      <w:r w:rsidRPr="006F3E3C">
        <w:rPr>
          <w:bCs/>
          <w:sz w:val="24"/>
        </w:rPr>
        <w:t>4</w:t>
      </w:r>
      <w:r w:rsidRPr="006F3E3C">
        <w:rPr>
          <w:rFonts w:hint="eastAsia"/>
          <w:bCs/>
          <w:sz w:val="24"/>
        </w:rPr>
        <w:t>、缴纳基金认购、申购、赎回款项及法律法规和《基金合同》所规定的费用；</w:t>
      </w:r>
      <w:r w:rsidRPr="006F3E3C">
        <w:rPr>
          <w:bCs/>
          <w:sz w:val="24"/>
        </w:rPr>
        <w:t>5</w:t>
      </w:r>
      <w:r w:rsidRPr="006F3E3C">
        <w:rPr>
          <w:rFonts w:hint="eastAsia"/>
          <w:bCs/>
          <w:sz w:val="24"/>
        </w:rPr>
        <w:t>、在其持有的基金份额范围内，承担基金亏损或者《基金合同》终止的有限责任；</w:t>
      </w:r>
      <w:r w:rsidRPr="006F3E3C">
        <w:rPr>
          <w:bCs/>
          <w:sz w:val="24"/>
        </w:rPr>
        <w:t>6</w:t>
      </w:r>
      <w:r w:rsidRPr="006F3E3C">
        <w:rPr>
          <w:rFonts w:hint="eastAsia"/>
          <w:bCs/>
          <w:sz w:val="24"/>
        </w:rPr>
        <w:t>、不从事任何有损基金及其他《基金合同》当事人合法权益的活动；</w:t>
      </w:r>
      <w:r w:rsidRPr="006F3E3C">
        <w:rPr>
          <w:bCs/>
          <w:sz w:val="24"/>
        </w:rPr>
        <w:t>7</w:t>
      </w:r>
      <w:r w:rsidRPr="006F3E3C">
        <w:rPr>
          <w:rFonts w:hint="eastAsia"/>
          <w:bCs/>
          <w:sz w:val="24"/>
        </w:rPr>
        <w:t>、执行生效的基金份额持有人大会的决定；</w:t>
      </w:r>
      <w:r w:rsidRPr="006F3E3C">
        <w:rPr>
          <w:bCs/>
          <w:sz w:val="24"/>
        </w:rPr>
        <w:t>8</w:t>
      </w:r>
      <w:r w:rsidRPr="006F3E3C">
        <w:rPr>
          <w:rFonts w:hint="eastAsia"/>
          <w:bCs/>
          <w:sz w:val="24"/>
        </w:rPr>
        <w:t>、</w:t>
      </w:r>
      <w:r w:rsidRPr="006F3E3C">
        <w:rPr>
          <w:rFonts w:hint="eastAsia"/>
          <w:bCs/>
          <w:sz w:val="24"/>
        </w:rPr>
        <w:lastRenderedPageBreak/>
        <w:t>返还在基金交易过程中因任何原因获得的不当得利；</w:t>
      </w:r>
      <w:r w:rsidRPr="006F3E3C">
        <w:rPr>
          <w:bCs/>
          <w:sz w:val="24"/>
        </w:rPr>
        <w:t>9</w:t>
      </w:r>
      <w:r w:rsidRPr="006F3E3C">
        <w:rPr>
          <w:rFonts w:hint="eastAsia"/>
          <w:bCs/>
          <w:sz w:val="24"/>
        </w:rPr>
        <w:t>、法律法规及中国证监会规定的和《基金合同》约定的其他义务。</w:t>
      </w:r>
    </w:p>
    <w:p w14:paraId="1A6C6604" w14:textId="77777777" w:rsidR="00A9397C" w:rsidRPr="006F3E3C" w:rsidRDefault="000F0F7C">
      <w:pPr>
        <w:spacing w:line="360" w:lineRule="auto"/>
        <w:ind w:firstLineChars="200" w:firstLine="480"/>
        <w:jc w:val="left"/>
        <w:rPr>
          <w:bCs/>
          <w:sz w:val="24"/>
        </w:rPr>
      </w:pPr>
      <w:r w:rsidRPr="006F3E3C">
        <w:rPr>
          <w:rFonts w:hint="eastAsia"/>
          <w:bCs/>
          <w:sz w:val="24"/>
        </w:rPr>
        <w:t>其他基金合同</w:t>
      </w:r>
      <w:r w:rsidRPr="006F3E3C">
        <w:rPr>
          <w:bCs/>
          <w:sz w:val="24"/>
        </w:rPr>
        <w:t>当事人的权利义务详见基金合同</w:t>
      </w:r>
      <w:r w:rsidRPr="006F3E3C">
        <w:rPr>
          <w:bCs/>
          <w:sz w:val="24"/>
        </w:rPr>
        <w:t>“</w:t>
      </w:r>
      <w:r w:rsidRPr="006F3E3C">
        <w:rPr>
          <w:rFonts w:hint="eastAsia"/>
          <w:bCs/>
          <w:sz w:val="24"/>
        </w:rPr>
        <w:t>第六</w:t>
      </w:r>
      <w:r w:rsidRPr="006F3E3C">
        <w:rPr>
          <w:bCs/>
          <w:sz w:val="24"/>
        </w:rPr>
        <w:t>部分</w:t>
      </w:r>
      <w:r w:rsidRPr="006F3E3C">
        <w:rPr>
          <w:rFonts w:hint="eastAsia"/>
          <w:bCs/>
          <w:sz w:val="24"/>
        </w:rPr>
        <w:t xml:space="preserve"> </w:t>
      </w:r>
      <w:r w:rsidRPr="006F3E3C">
        <w:rPr>
          <w:rFonts w:hint="eastAsia"/>
          <w:bCs/>
          <w:sz w:val="24"/>
        </w:rPr>
        <w:t>基金</w:t>
      </w:r>
      <w:r w:rsidRPr="006F3E3C">
        <w:rPr>
          <w:bCs/>
          <w:sz w:val="24"/>
        </w:rPr>
        <w:t>合同当事人</w:t>
      </w:r>
      <w:r w:rsidRPr="006F3E3C">
        <w:rPr>
          <w:rFonts w:hint="eastAsia"/>
          <w:bCs/>
          <w:sz w:val="24"/>
        </w:rPr>
        <w:t>及权利义务</w:t>
      </w:r>
      <w:r w:rsidRPr="006F3E3C">
        <w:rPr>
          <w:bCs/>
          <w:sz w:val="24"/>
        </w:rPr>
        <w:t>”</w:t>
      </w:r>
      <w:r w:rsidRPr="006F3E3C">
        <w:rPr>
          <w:rFonts w:hint="eastAsia"/>
          <w:bCs/>
          <w:sz w:val="24"/>
        </w:rPr>
        <w:t>章节</w:t>
      </w:r>
      <w:r w:rsidRPr="006F3E3C">
        <w:rPr>
          <w:bCs/>
          <w:sz w:val="24"/>
        </w:rPr>
        <w:t>。</w:t>
      </w:r>
    </w:p>
    <w:p w14:paraId="04005C02" w14:textId="21A198CA" w:rsidR="00E942B4" w:rsidRPr="006F3E3C" w:rsidRDefault="000F0F7C">
      <w:pPr>
        <w:spacing w:line="360" w:lineRule="auto"/>
        <w:ind w:firstLineChars="200" w:firstLine="480"/>
        <w:rPr>
          <w:bCs/>
          <w:sz w:val="24"/>
        </w:rPr>
      </w:pPr>
      <w:r w:rsidRPr="006F3E3C">
        <w:rPr>
          <w:rFonts w:hAnsi="宋体" w:hint="eastAsia"/>
          <w:color w:val="000000"/>
          <w:sz w:val="24"/>
        </w:rPr>
        <w:t>（七）基金成立后，开始办理份额申赎前，至少每周披露净值；开始办理份额申赎后，每个开放日次日披露净值；</w:t>
      </w:r>
      <w:r w:rsidR="00595E2F" w:rsidRPr="006F3E3C">
        <w:rPr>
          <w:rFonts w:hint="eastAsia"/>
          <w:bCs/>
          <w:color w:val="000000" w:themeColor="text1"/>
          <w:sz w:val="24"/>
        </w:rPr>
        <w:t>在每年结束之日起</w:t>
      </w:r>
      <w:r w:rsidRPr="006F3E3C">
        <w:rPr>
          <w:rFonts w:hint="eastAsia"/>
          <w:bCs/>
          <w:sz w:val="24"/>
        </w:rPr>
        <w:t>三个月内，披露年报；</w:t>
      </w:r>
      <w:r w:rsidR="00595E2F" w:rsidRPr="006F3E3C">
        <w:rPr>
          <w:rFonts w:hint="eastAsia"/>
          <w:bCs/>
          <w:color w:val="000000" w:themeColor="text1"/>
          <w:sz w:val="24"/>
        </w:rPr>
        <w:t>在上半年结束之日起</w:t>
      </w:r>
      <w:r w:rsidRPr="006F3E3C">
        <w:rPr>
          <w:rFonts w:hint="eastAsia"/>
          <w:bCs/>
          <w:sz w:val="24"/>
        </w:rPr>
        <w:t>两个月内，披露中期报告；</w:t>
      </w:r>
      <w:r w:rsidR="00595E2F" w:rsidRPr="006F3E3C">
        <w:rPr>
          <w:bCs/>
          <w:color w:val="000000" w:themeColor="text1"/>
          <w:sz w:val="24"/>
        </w:rPr>
        <w:t>在季度结束之日起</w:t>
      </w:r>
      <w:r w:rsidRPr="006F3E3C">
        <w:rPr>
          <w:rFonts w:hint="eastAsia"/>
          <w:bCs/>
          <w:sz w:val="24"/>
        </w:rPr>
        <w:t>十五个工作日内，披露季报。</w:t>
      </w:r>
    </w:p>
    <w:p w14:paraId="49D0E175" w14:textId="6A4CE8FE" w:rsidR="00A9397C" w:rsidRPr="006F3E3C" w:rsidRDefault="000F0F7C">
      <w:pPr>
        <w:spacing w:line="360" w:lineRule="auto"/>
        <w:ind w:firstLineChars="200" w:firstLine="480"/>
        <w:rPr>
          <w:rFonts w:hAnsi="宋体"/>
          <w:color w:val="000000"/>
          <w:sz w:val="24"/>
        </w:rPr>
      </w:pPr>
      <w:r w:rsidRPr="006F3E3C">
        <w:rPr>
          <w:rFonts w:hAnsi="宋体" w:hint="eastAsia"/>
          <w:color w:val="000000"/>
          <w:sz w:val="24"/>
        </w:rPr>
        <w:t>您可以登陆公司网站（</w:t>
      </w:r>
      <w:r w:rsidRPr="006F3E3C">
        <w:rPr>
          <w:rFonts w:hAnsi="宋体"/>
          <w:color w:val="000000"/>
          <w:sz w:val="24"/>
        </w:rPr>
        <w:t>www.ctfund.com</w:t>
      </w:r>
      <w:r w:rsidRPr="006F3E3C">
        <w:rPr>
          <w:rFonts w:hAnsi="宋体" w:hint="eastAsia"/>
          <w:color w:val="000000"/>
          <w:sz w:val="24"/>
        </w:rPr>
        <w:t>）或查阅</w:t>
      </w:r>
      <w:r w:rsidR="00E942B4" w:rsidRPr="006F3E3C">
        <w:rPr>
          <w:rFonts w:hAnsi="宋体" w:hint="eastAsia"/>
          <w:color w:val="000000"/>
          <w:sz w:val="24"/>
        </w:rPr>
        <w:t>《证券时报》</w:t>
      </w:r>
      <w:r w:rsidRPr="006F3E3C">
        <w:rPr>
          <w:rFonts w:hAnsi="宋体" w:hint="eastAsia"/>
          <w:color w:val="000000"/>
          <w:sz w:val="24"/>
        </w:rPr>
        <w:t>查询有关信息和其它临时公告。</w:t>
      </w:r>
    </w:p>
    <w:p w14:paraId="6D663106" w14:textId="23933B50" w:rsidR="00A9397C" w:rsidRPr="006F3E3C" w:rsidRDefault="000F0F7C">
      <w:pPr>
        <w:spacing w:line="360" w:lineRule="auto"/>
        <w:ind w:firstLineChars="200" w:firstLine="480"/>
        <w:rPr>
          <w:rFonts w:hAnsi="宋体"/>
          <w:color w:val="000000"/>
          <w:sz w:val="24"/>
        </w:rPr>
      </w:pPr>
      <w:r w:rsidRPr="006F3E3C">
        <w:rPr>
          <w:rFonts w:hAnsi="宋体" w:hint="eastAsia"/>
          <w:color w:val="000000"/>
          <w:sz w:val="24"/>
        </w:rPr>
        <w:t>（八）您通过柜台直销投资的，享有</w:t>
      </w:r>
      <w:r w:rsidRPr="006F3E3C">
        <w:rPr>
          <w:rFonts w:hAnsi="宋体"/>
          <w:color w:val="000000"/>
          <w:sz w:val="24"/>
        </w:rPr>
        <w:t>3</w:t>
      </w:r>
      <w:r w:rsidRPr="006F3E3C">
        <w:rPr>
          <w:rFonts w:hAnsi="宋体" w:hint="eastAsia"/>
          <w:color w:val="000000"/>
          <w:sz w:val="24"/>
        </w:rPr>
        <w:t>分钟冷静期；您通过线上直销投资的，享有</w:t>
      </w:r>
      <w:r w:rsidRPr="006F3E3C">
        <w:rPr>
          <w:rFonts w:hAnsi="宋体"/>
          <w:color w:val="000000"/>
          <w:sz w:val="24"/>
        </w:rPr>
        <w:t>10</w:t>
      </w:r>
      <w:r w:rsidRPr="006F3E3C">
        <w:rPr>
          <w:rFonts w:hAnsi="宋体" w:hint="eastAsia"/>
          <w:color w:val="000000"/>
          <w:sz w:val="24"/>
        </w:rPr>
        <w:t>秒钟冷静期。交易确认后，公司将抽取一定比例客户进行回访；普通投资者（机构）通过传真交易方式投资的，至少回访两次。</w:t>
      </w:r>
    </w:p>
    <w:p w14:paraId="0473A620" w14:textId="62572C59" w:rsidR="00A9397C" w:rsidRPr="006F3E3C" w:rsidRDefault="000F0F7C">
      <w:pPr>
        <w:spacing w:line="360" w:lineRule="auto"/>
        <w:ind w:firstLineChars="200" w:firstLine="480"/>
        <w:rPr>
          <w:rFonts w:hAnsi="宋体"/>
          <w:color w:val="000000"/>
          <w:sz w:val="24"/>
        </w:rPr>
      </w:pPr>
      <w:r w:rsidRPr="006F3E3C">
        <w:rPr>
          <w:rFonts w:hAnsi="宋体" w:hint="eastAsia"/>
          <w:color w:val="000000"/>
          <w:sz w:val="24"/>
        </w:rPr>
        <w:t>（九）您可通过客服电话（</w:t>
      </w:r>
      <w:r w:rsidRPr="006F3E3C">
        <w:rPr>
          <w:rFonts w:hAnsi="宋体"/>
          <w:color w:val="000000"/>
          <w:sz w:val="24"/>
        </w:rPr>
        <w:t>400-820-9888</w:t>
      </w:r>
      <w:r w:rsidRPr="006F3E3C">
        <w:rPr>
          <w:rFonts w:hAnsi="宋体" w:hint="eastAsia"/>
          <w:color w:val="000000"/>
          <w:sz w:val="24"/>
        </w:rPr>
        <w:t>）或电子邮件（</w:t>
      </w:r>
      <w:hyperlink r:id="rId9" w:history="1">
        <w:r w:rsidRPr="006F3E3C">
          <w:rPr>
            <w:rFonts w:hAnsi="宋体"/>
            <w:color w:val="000000"/>
            <w:sz w:val="24"/>
          </w:rPr>
          <w:t>service@ctfund.com</w:t>
        </w:r>
      </w:hyperlink>
      <w:r w:rsidRPr="006F3E3C">
        <w:rPr>
          <w:rFonts w:hAnsi="宋体" w:hint="eastAsia"/>
          <w:color w:val="000000"/>
          <w:sz w:val="24"/>
        </w:rPr>
        <w:t>）进行投诉；</w:t>
      </w:r>
      <w:hyperlink r:id="rId10" w:history="1">
        <w:r w:rsidRPr="006F3E3C">
          <w:rPr>
            <w:rFonts w:hAnsi="宋体" w:hint="eastAsia"/>
            <w:color w:val="000000"/>
            <w:sz w:val="24"/>
          </w:rPr>
          <w:t>亦</w:t>
        </w:r>
      </w:hyperlink>
      <w:r w:rsidRPr="006F3E3C">
        <w:rPr>
          <w:rFonts w:hAnsi="宋体" w:hint="eastAsia"/>
          <w:color w:val="000000"/>
          <w:sz w:val="24"/>
        </w:rPr>
        <w:t>可向中国国际经济贸易仲裁委员会提起仲裁。</w:t>
      </w:r>
    </w:p>
    <w:p w14:paraId="63B8BF50" w14:textId="77777777" w:rsidR="00A9397C" w:rsidRPr="006F3E3C" w:rsidRDefault="000F0F7C">
      <w:pPr>
        <w:spacing w:line="360" w:lineRule="auto"/>
        <w:ind w:firstLineChars="200" w:firstLine="480"/>
        <w:jc w:val="left"/>
        <w:rPr>
          <w:rFonts w:hAnsi="宋体"/>
          <w:color w:val="000000"/>
          <w:sz w:val="24"/>
        </w:rPr>
      </w:pPr>
      <w:bookmarkStart w:id="0" w:name="_Hlt88825574"/>
      <w:bookmarkEnd w:id="0"/>
      <w:r w:rsidRPr="006F3E3C">
        <w:rPr>
          <w:rFonts w:hAnsi="宋体" w:hint="eastAsia"/>
          <w:color w:val="000000"/>
          <w:sz w:val="24"/>
        </w:rPr>
        <w:t>本基金由财通基金管理有限公司依照有关法律法规及约定申请募集，并经中国证监会许可注册。本基金的基金合同、基金招募说明书和基金产品资料概要已通过中国证监会基金电子披露网站【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6F3E3C">
          <w:rPr>
            <w:rFonts w:hAnsi="宋体"/>
            <w:color w:val="000000"/>
            <w:sz w:val="24"/>
          </w:rPr>
          <w:t>http://eid.csrc.gov.cn/fund</w:t>
        </w:r>
      </w:hyperlink>
      <w:r w:rsidRPr="006F3E3C">
        <w:rPr>
          <w:rFonts w:hAnsi="宋体" w:hint="eastAsia"/>
          <w:color w:val="000000"/>
          <w:sz w:val="24"/>
        </w:rPr>
        <w:t>】和基金管理人网站【</w:t>
      </w:r>
      <w:r w:rsidRPr="006F3E3C">
        <w:rPr>
          <w:rFonts w:hAnsi="宋体"/>
          <w:color w:val="000000"/>
          <w:sz w:val="24"/>
        </w:rPr>
        <w:t>www.ctfund.com</w:t>
      </w:r>
      <w:r w:rsidRPr="006F3E3C">
        <w:rPr>
          <w:rFonts w:hAnsi="宋体" w:hint="eastAsia"/>
          <w:color w:val="000000"/>
          <w:sz w:val="24"/>
        </w:rPr>
        <w:t>】进行了公开披露。中国证监会对本基金的注册，并不表明其对本基金的投资价值、市场前景和收益作出实质性判断或保证，也不表明投资于本基金没有风险。</w:t>
      </w:r>
    </w:p>
    <w:p w14:paraId="419047EA" w14:textId="77777777" w:rsidR="00A9397C" w:rsidRPr="006F3E3C" w:rsidRDefault="000F0F7C">
      <w:pPr>
        <w:spacing w:line="360" w:lineRule="auto"/>
        <w:ind w:firstLineChars="200" w:firstLine="482"/>
        <w:jc w:val="left"/>
        <w:rPr>
          <w:rFonts w:ascii="Arial" w:hAnsi="Arial" w:cs="Arial"/>
          <w:color w:val="000000"/>
          <w:sz w:val="24"/>
        </w:rPr>
      </w:pPr>
      <w:r w:rsidRPr="006F3E3C">
        <w:rPr>
          <w:rFonts w:ascii="Arial" w:hAnsi="Arial" w:cs="Arial" w:hint="eastAsia"/>
          <w:b/>
          <w:color w:val="000000"/>
          <w:sz w:val="24"/>
          <w:u w:val="double"/>
        </w:rPr>
        <w:t>请投资者在投资前认真阅读本风险揭示书</w:t>
      </w:r>
      <w:r w:rsidRPr="006F3E3C">
        <w:rPr>
          <w:rFonts w:ascii="Arial" w:hAnsi="Arial" w:cs="Arial" w:hint="eastAsia"/>
          <w:color w:val="000000"/>
          <w:sz w:val="24"/>
        </w:rPr>
        <w:t>，</w:t>
      </w:r>
      <w:r w:rsidRPr="006F3E3C">
        <w:rPr>
          <w:rFonts w:ascii="Arial" w:hAnsi="Arial" w:cs="Arial" w:hint="eastAsia"/>
          <w:b/>
          <w:color w:val="000000"/>
          <w:sz w:val="24"/>
          <w:u w:val="double"/>
        </w:rPr>
        <w:t>并请在本风险揭示书后签署确认</w:t>
      </w:r>
      <w:r w:rsidRPr="006F3E3C">
        <w:rPr>
          <w:rFonts w:ascii="Arial" w:hAnsi="Arial" w:cs="Arial" w:hint="eastAsia"/>
          <w:color w:val="000000"/>
          <w:sz w:val="24"/>
        </w:rPr>
        <w:t>。</w:t>
      </w:r>
    </w:p>
    <w:p w14:paraId="5723AC68" w14:textId="77777777" w:rsidR="00A9397C" w:rsidRPr="006F3E3C" w:rsidRDefault="000F0F7C">
      <w:pPr>
        <w:spacing w:line="360" w:lineRule="auto"/>
        <w:ind w:firstLineChars="200" w:firstLine="480"/>
        <w:jc w:val="left"/>
        <w:outlineLvl w:val="0"/>
        <w:rPr>
          <w:rFonts w:ascii="Arial" w:hAnsi="Arial" w:cs="Arial"/>
          <w:color w:val="000000"/>
          <w:sz w:val="24"/>
        </w:rPr>
      </w:pPr>
      <w:r w:rsidRPr="006F3E3C">
        <w:rPr>
          <w:rFonts w:ascii="华文细黑" w:eastAsia="华文细黑" w:hAnsi="华文细黑" w:cs="Arial"/>
          <w:noProof/>
          <w:color w:val="000000"/>
          <w:sz w:val="24"/>
        </w:rPr>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27305</wp:posOffset>
                </wp:positionV>
                <wp:extent cx="5303520" cy="8255"/>
                <wp:effectExtent l="16510" t="8255" r="1397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3520" cy="8255"/>
                        </a:xfrm>
                        <a:prstGeom prst="straightConnector1">
                          <a:avLst/>
                        </a:prstGeom>
                        <a:noFill/>
                        <a:ln w="15875">
                          <a:solidFill>
                            <a:srgbClr val="000000"/>
                          </a:solidFill>
                          <a:prstDash val="dash"/>
                          <a:round/>
                        </a:ln>
                      </wps:spPr>
                      <wps:bodyPr/>
                    </wps:wsp>
                  </a:graphicData>
                </a:graphic>
              </wp:anchor>
            </w:drawing>
          </mc:Choice>
          <mc:Fallback xmlns:wpsCustomData="http://www.wps.cn/officeDocument/2013/wpsCustomData">
            <w:pict>
              <v:shape id="AutoShape 8" o:spid="_x0000_s1026" o:spt="32" type="#_x0000_t32" style="position:absolute;left:0pt;flip:y;margin-left:2.05pt;margin-top:2.15pt;height:0.65pt;width:417.6pt;z-index:251661312;mso-width-relative:page;mso-height-relative:page;" filled="f" stroked="t" coordsize="21600,21600" o:gfxdata="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bOrj1AAA&#10;AAUBAAAPAAAAAAAAAAEAIAAAACIAAABkcnMvZG93bnJldi54bWxQSwECFAAUAAAACACHTuJAyL0g&#10;oOkBAADYAwAADgAAAAAAAAABACAAAAAjAQAAZHJzL2Uyb0RvYy54bWxQSwUGAAAAAAYABgBZAQAA&#10;fgUAAAAA&#10;">
                <v:fill on="f" focussize="0,0"/>
                <v:stroke weight="1.25pt" color="#000000" joinstyle="round" dashstyle="dash"/>
                <v:imagedata o:title=""/>
                <o:lock v:ext="edit" aspectratio="f"/>
              </v:shape>
            </w:pict>
          </mc:Fallback>
        </mc:AlternateContent>
      </w:r>
      <w:r w:rsidRPr="006F3E3C">
        <w:rPr>
          <w:rFonts w:ascii="Arial" w:hAnsi="Arial" w:cs="Arial" w:hint="eastAsia"/>
          <w:color w:val="000000"/>
          <w:sz w:val="24"/>
        </w:rPr>
        <w:t>（以下无正文）</w:t>
      </w:r>
    </w:p>
    <w:p w14:paraId="0E99E7CD" w14:textId="77777777" w:rsidR="00A9397C" w:rsidRPr="006F3E3C" w:rsidRDefault="00A9397C">
      <w:pPr>
        <w:spacing w:line="360" w:lineRule="auto"/>
        <w:ind w:firstLineChars="200" w:firstLine="480"/>
        <w:jc w:val="left"/>
        <w:outlineLvl w:val="0"/>
        <w:rPr>
          <w:color w:val="000000"/>
          <w:sz w:val="24"/>
          <w:u w:val="single"/>
        </w:rPr>
      </w:pPr>
    </w:p>
    <w:p w14:paraId="415E6B08" w14:textId="77777777" w:rsidR="00A9397C" w:rsidRPr="006F3E3C" w:rsidRDefault="00A9397C">
      <w:pPr>
        <w:spacing w:line="360" w:lineRule="auto"/>
        <w:ind w:firstLineChars="200" w:firstLine="480"/>
        <w:jc w:val="left"/>
        <w:outlineLvl w:val="0"/>
        <w:rPr>
          <w:color w:val="000000"/>
          <w:sz w:val="24"/>
          <w:u w:val="single"/>
        </w:rPr>
      </w:pPr>
    </w:p>
    <w:p w14:paraId="5E3CD74A" w14:textId="77777777" w:rsidR="00A9397C" w:rsidRPr="006F3E3C" w:rsidRDefault="000F0F7C">
      <w:pPr>
        <w:spacing w:line="360" w:lineRule="auto"/>
        <w:ind w:firstLineChars="200" w:firstLine="480"/>
        <w:jc w:val="left"/>
        <w:outlineLvl w:val="0"/>
        <w:rPr>
          <w:color w:val="000000"/>
          <w:sz w:val="24"/>
          <w:u w:val="single"/>
        </w:rPr>
      </w:pPr>
      <w:r w:rsidRPr="006F3E3C">
        <w:rPr>
          <w:rFonts w:hint="eastAsia"/>
          <w:color w:val="000000"/>
          <w:sz w:val="24"/>
          <w:u w:val="single"/>
        </w:rPr>
        <w:t>以上《风险揭示书》的各项内容，本人</w:t>
      </w:r>
      <w:r w:rsidRPr="006F3E3C">
        <w:rPr>
          <w:color w:val="000000"/>
          <w:sz w:val="24"/>
          <w:u w:val="single"/>
        </w:rPr>
        <w:t>/</w:t>
      </w:r>
      <w:r w:rsidRPr="006F3E3C">
        <w:rPr>
          <w:rFonts w:hint="eastAsia"/>
          <w:color w:val="000000"/>
          <w:sz w:val="24"/>
          <w:u w:val="single"/>
        </w:rPr>
        <w:t>单位已阅读并完全理解。</w:t>
      </w:r>
    </w:p>
    <w:p w14:paraId="5F1C135D" w14:textId="77777777" w:rsidR="00A9397C" w:rsidRPr="006F3E3C" w:rsidRDefault="000F0F7C">
      <w:pPr>
        <w:adjustRightInd w:val="0"/>
        <w:snapToGrid w:val="0"/>
        <w:spacing w:before="100" w:beforeAutospacing="1" w:after="100" w:afterAutospacing="1" w:line="560" w:lineRule="exact"/>
        <w:ind w:firstLineChars="243" w:firstLine="585"/>
        <w:rPr>
          <w:b/>
          <w:color w:val="000000" w:themeColor="text1"/>
          <w:sz w:val="24"/>
        </w:rPr>
      </w:pPr>
      <w:r w:rsidRPr="006F3E3C">
        <w:rPr>
          <w:rFonts w:hint="eastAsia"/>
          <w:b/>
          <w:color w:val="000000" w:themeColor="text1"/>
          <w:sz w:val="24"/>
        </w:rPr>
        <w:t>抄录：以上《风险揭示书》的各项内容，本人</w:t>
      </w:r>
      <w:r w:rsidRPr="006F3E3C">
        <w:rPr>
          <w:b/>
          <w:color w:val="000000" w:themeColor="text1"/>
          <w:sz w:val="24"/>
        </w:rPr>
        <w:t>/</w:t>
      </w:r>
      <w:r w:rsidRPr="006F3E3C">
        <w:rPr>
          <w:rFonts w:hint="eastAsia"/>
          <w:b/>
          <w:color w:val="000000" w:themeColor="text1"/>
          <w:sz w:val="24"/>
        </w:rPr>
        <w:t>单位已</w:t>
      </w:r>
      <w:r w:rsidRPr="006F3E3C">
        <w:rPr>
          <w:rFonts w:ascii="宋体" w:hAnsi="宋体" w:hint="eastAsia"/>
          <w:b/>
          <w:color w:val="000000" w:themeColor="text1"/>
          <w:sz w:val="28"/>
        </w:rPr>
        <w:t>□□</w:t>
      </w:r>
      <w:r w:rsidRPr="006F3E3C">
        <w:rPr>
          <w:rFonts w:hint="eastAsia"/>
          <w:b/>
          <w:color w:val="000000" w:themeColor="text1"/>
          <w:sz w:val="24"/>
        </w:rPr>
        <w:t>并</w:t>
      </w:r>
      <w:r w:rsidRPr="006F3E3C">
        <w:rPr>
          <w:rFonts w:ascii="宋体" w:hAnsi="宋体" w:hint="eastAsia"/>
          <w:b/>
          <w:color w:val="000000" w:themeColor="text1"/>
          <w:sz w:val="28"/>
        </w:rPr>
        <w:t>□□□□</w:t>
      </w:r>
      <w:r w:rsidRPr="006F3E3C">
        <w:rPr>
          <w:rFonts w:hint="eastAsia"/>
          <w:b/>
          <w:color w:val="000000" w:themeColor="text1"/>
          <w:sz w:val="24"/>
        </w:rPr>
        <w:t>。</w:t>
      </w:r>
    </w:p>
    <w:p w14:paraId="531FBCB0" w14:textId="77777777" w:rsidR="00A9397C" w:rsidRPr="006F3E3C" w:rsidRDefault="000F0F7C">
      <w:pPr>
        <w:adjustRightInd w:val="0"/>
        <w:snapToGrid w:val="0"/>
        <w:spacing w:before="100" w:beforeAutospacing="1" w:after="100" w:afterAutospacing="1" w:line="560" w:lineRule="exact"/>
        <w:ind w:firstLine="480"/>
        <w:rPr>
          <w:color w:val="000000" w:themeColor="text1"/>
          <w:sz w:val="24"/>
        </w:rPr>
      </w:pPr>
      <w:r w:rsidRPr="006F3E3C">
        <w:rPr>
          <w:rFonts w:hint="eastAsia"/>
          <w:color w:val="000000" w:themeColor="text1"/>
          <w:sz w:val="24"/>
        </w:rPr>
        <w:lastRenderedPageBreak/>
        <w:t>（请基金投资人</w:t>
      </w:r>
      <w:r w:rsidRPr="006F3E3C">
        <w:rPr>
          <w:color w:val="000000" w:themeColor="text1"/>
          <w:sz w:val="24"/>
        </w:rPr>
        <w:t>/</w:t>
      </w:r>
      <w:r w:rsidRPr="006F3E3C">
        <w:rPr>
          <w:rFonts w:hint="eastAsia"/>
          <w:color w:val="000000" w:themeColor="text1"/>
          <w:sz w:val="24"/>
        </w:rPr>
        <w:t>被授权人认真阅读后抄录）</w:t>
      </w:r>
    </w:p>
    <w:p w14:paraId="039686FB" w14:textId="77777777" w:rsidR="00A9397C" w:rsidRPr="006F3E3C" w:rsidRDefault="000F0F7C">
      <w:pPr>
        <w:adjustRightInd w:val="0"/>
        <w:snapToGrid w:val="0"/>
        <w:spacing w:before="100" w:beforeAutospacing="1" w:after="100" w:afterAutospacing="1" w:line="560" w:lineRule="exact"/>
        <w:ind w:firstLine="480"/>
        <w:rPr>
          <w:rFonts w:ascii="宋体" w:hAnsi="宋体"/>
          <w:sz w:val="24"/>
        </w:rPr>
      </w:pPr>
      <w:r w:rsidRPr="006F3E3C">
        <w:rPr>
          <w:rFonts w:hint="eastAsia"/>
          <w:color w:val="000000"/>
          <w:sz w:val="24"/>
        </w:rPr>
        <w:t>法人加盖公章</w:t>
      </w:r>
      <w:r w:rsidRPr="006F3E3C">
        <w:rPr>
          <w:color w:val="000000"/>
          <w:sz w:val="24"/>
        </w:rPr>
        <w:t xml:space="preserve">                 </w:t>
      </w:r>
      <w:r w:rsidRPr="006F3E3C">
        <w:rPr>
          <w:rFonts w:hint="eastAsia"/>
          <w:color w:val="000000"/>
          <w:sz w:val="24"/>
        </w:rPr>
        <w:t>自然人</w:t>
      </w:r>
      <w:r w:rsidRPr="006F3E3C">
        <w:rPr>
          <w:color w:val="000000"/>
          <w:sz w:val="24"/>
        </w:rPr>
        <w:t>/</w:t>
      </w:r>
      <w:r w:rsidRPr="006F3E3C">
        <w:rPr>
          <w:rFonts w:hint="eastAsia"/>
          <w:color w:val="000000"/>
          <w:sz w:val="24"/>
        </w:rPr>
        <w:t>法定代表人或被授权人签字</w:t>
      </w:r>
    </w:p>
    <w:p w14:paraId="40C4F2E5" w14:textId="77777777" w:rsidR="00A9397C" w:rsidRDefault="000F0F7C">
      <w:pPr>
        <w:spacing w:line="360" w:lineRule="auto"/>
        <w:rPr>
          <w:b/>
          <w:sz w:val="24"/>
        </w:rPr>
      </w:pPr>
      <w:r w:rsidRPr="006F3E3C">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1009650" cy="1009650"/>
                    </a:xfrm>
                    <a:prstGeom prst="rect">
                      <a:avLst/>
                    </a:prstGeom>
                    <a:noFill/>
                    <a:ln w="9525">
                      <a:noFill/>
                      <a:miter lim="800000"/>
                      <a:headEnd/>
                      <a:tailEnd/>
                    </a:ln>
                  </pic:spPr>
                </pic:pic>
              </a:graphicData>
            </a:graphic>
          </wp:anchor>
        </w:drawing>
      </w:r>
      <w:bookmarkStart w:id="1" w:name="_GoBack"/>
      <w:bookmarkEnd w:id="1"/>
    </w:p>
    <w:sectPr w:rsidR="00A9397C">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D6456" w14:textId="77777777" w:rsidR="00817324" w:rsidRDefault="00817324">
      <w:r>
        <w:separator/>
      </w:r>
    </w:p>
  </w:endnote>
  <w:endnote w:type="continuationSeparator" w:id="0">
    <w:p w14:paraId="508C0E84" w14:textId="77777777" w:rsidR="00817324" w:rsidRDefault="0081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AutoText"/>
      </w:docPartObj>
    </w:sdtPr>
    <w:sdtEndPr/>
    <w:sdtContent>
      <w:p w14:paraId="6EA820F8" w14:textId="77777777" w:rsidR="00A9397C" w:rsidRDefault="000F0F7C">
        <w:pPr>
          <w:pStyle w:val="a7"/>
          <w:jc w:val="center"/>
        </w:pPr>
        <w:r>
          <w:fldChar w:fldCharType="begin"/>
        </w:r>
        <w:r>
          <w:instrText xml:space="preserve"> PAGE   \* MERGEFORMAT </w:instrText>
        </w:r>
        <w:r>
          <w:fldChar w:fldCharType="separate"/>
        </w:r>
        <w:r w:rsidR="006F3E3C" w:rsidRPr="006F3E3C">
          <w:rPr>
            <w:noProof/>
            <w:lang w:val="zh-CN"/>
          </w:rPr>
          <w:t>5</w:t>
        </w:r>
        <w:r>
          <w:rPr>
            <w:lang w:val="zh-CN"/>
          </w:rPr>
          <w:fldChar w:fldCharType="end"/>
        </w:r>
      </w:p>
    </w:sdtContent>
  </w:sdt>
  <w:p w14:paraId="4305AECC" w14:textId="77777777" w:rsidR="00A9397C" w:rsidRDefault="00A939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A7612" w14:textId="77777777" w:rsidR="00817324" w:rsidRDefault="00817324">
      <w:r>
        <w:separator/>
      </w:r>
    </w:p>
  </w:footnote>
  <w:footnote w:type="continuationSeparator" w:id="0">
    <w:p w14:paraId="55A89DDF" w14:textId="77777777" w:rsidR="00817324" w:rsidRDefault="00817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0E5E8" w14:textId="454D4CB1" w:rsidR="00A9397C" w:rsidRDefault="000F0F7C">
    <w:pPr>
      <w:pStyle w:val="a8"/>
    </w:pPr>
    <w:r>
      <w:rPr>
        <w:rFonts w:hint="eastAsia"/>
        <w:bCs/>
        <w:sz w:val="24"/>
      </w:rPr>
      <w:t>财通纯债债券型证券投资基金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56B8"/>
    <w:rsid w:val="000E3058"/>
    <w:rsid w:val="000E30CB"/>
    <w:rsid w:val="000F0F7C"/>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841D5"/>
    <w:rsid w:val="00284CCF"/>
    <w:rsid w:val="002914BE"/>
    <w:rsid w:val="00293057"/>
    <w:rsid w:val="00294874"/>
    <w:rsid w:val="002A1C03"/>
    <w:rsid w:val="002A74B6"/>
    <w:rsid w:val="002B1D3D"/>
    <w:rsid w:val="002B2D83"/>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0B1D"/>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95E2F"/>
    <w:rsid w:val="005A03C7"/>
    <w:rsid w:val="005A3E77"/>
    <w:rsid w:val="005B1360"/>
    <w:rsid w:val="005B2EA1"/>
    <w:rsid w:val="005B481C"/>
    <w:rsid w:val="005C2751"/>
    <w:rsid w:val="005C3E50"/>
    <w:rsid w:val="005C60BF"/>
    <w:rsid w:val="005D0BC4"/>
    <w:rsid w:val="005D312B"/>
    <w:rsid w:val="005D6D1B"/>
    <w:rsid w:val="005D769A"/>
    <w:rsid w:val="005E02F2"/>
    <w:rsid w:val="005E5412"/>
    <w:rsid w:val="005E6E07"/>
    <w:rsid w:val="005F0A4C"/>
    <w:rsid w:val="005F7A05"/>
    <w:rsid w:val="00605F21"/>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C2C7A"/>
    <w:rsid w:val="006D28E4"/>
    <w:rsid w:val="006E00D2"/>
    <w:rsid w:val="006E04F3"/>
    <w:rsid w:val="006E19A2"/>
    <w:rsid w:val="006E211D"/>
    <w:rsid w:val="006E4FEB"/>
    <w:rsid w:val="006E549E"/>
    <w:rsid w:val="006E5898"/>
    <w:rsid w:val="006F0B45"/>
    <w:rsid w:val="006F0DB1"/>
    <w:rsid w:val="006F3E3C"/>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0CBE"/>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3809"/>
    <w:rsid w:val="00804611"/>
    <w:rsid w:val="0080727D"/>
    <w:rsid w:val="00810052"/>
    <w:rsid w:val="008172E9"/>
    <w:rsid w:val="00817324"/>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4D22"/>
    <w:rsid w:val="008B5146"/>
    <w:rsid w:val="008B6972"/>
    <w:rsid w:val="008B706A"/>
    <w:rsid w:val="008B7208"/>
    <w:rsid w:val="008C0372"/>
    <w:rsid w:val="008C24EF"/>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1C31"/>
    <w:rsid w:val="00973DE0"/>
    <w:rsid w:val="009741FE"/>
    <w:rsid w:val="00974DA6"/>
    <w:rsid w:val="00975B8E"/>
    <w:rsid w:val="00981434"/>
    <w:rsid w:val="009959BF"/>
    <w:rsid w:val="0099693D"/>
    <w:rsid w:val="00996B4E"/>
    <w:rsid w:val="009A0681"/>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397C"/>
    <w:rsid w:val="00A96897"/>
    <w:rsid w:val="00AA062F"/>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2F13"/>
    <w:rsid w:val="00B7512A"/>
    <w:rsid w:val="00B86AA2"/>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508"/>
    <w:rsid w:val="00CD6D99"/>
    <w:rsid w:val="00CE5C46"/>
    <w:rsid w:val="00CE7FE3"/>
    <w:rsid w:val="00CF05F8"/>
    <w:rsid w:val="00D05D61"/>
    <w:rsid w:val="00D07B05"/>
    <w:rsid w:val="00D13464"/>
    <w:rsid w:val="00D141B5"/>
    <w:rsid w:val="00D14BAC"/>
    <w:rsid w:val="00D168EF"/>
    <w:rsid w:val="00D21D7A"/>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283"/>
    <w:rsid w:val="00DD095F"/>
    <w:rsid w:val="00DE04CC"/>
    <w:rsid w:val="00DE51C5"/>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42B4"/>
    <w:rsid w:val="00E957F9"/>
    <w:rsid w:val="00E965C2"/>
    <w:rsid w:val="00E96F16"/>
    <w:rsid w:val="00EA4CA4"/>
    <w:rsid w:val="00EA5F56"/>
    <w:rsid w:val="00EA796B"/>
    <w:rsid w:val="00EB1CF5"/>
    <w:rsid w:val="00EB7413"/>
    <w:rsid w:val="00EC0578"/>
    <w:rsid w:val="00EC21F9"/>
    <w:rsid w:val="00EC29E9"/>
    <w:rsid w:val="00ED5281"/>
    <w:rsid w:val="00ED53EA"/>
    <w:rsid w:val="00ED5869"/>
    <w:rsid w:val="00EE31FA"/>
    <w:rsid w:val="00EE6D98"/>
    <w:rsid w:val="00EE7299"/>
    <w:rsid w:val="00EF162C"/>
    <w:rsid w:val="00EF1EAC"/>
    <w:rsid w:val="00F01F59"/>
    <w:rsid w:val="00F01FFD"/>
    <w:rsid w:val="00F039F9"/>
    <w:rsid w:val="00F21E1D"/>
    <w:rsid w:val="00F22859"/>
    <w:rsid w:val="00F258DF"/>
    <w:rsid w:val="00F25971"/>
    <w:rsid w:val="00F2789F"/>
    <w:rsid w:val="00F300CC"/>
    <w:rsid w:val="00F3098D"/>
    <w:rsid w:val="00F3240D"/>
    <w:rsid w:val="00F332E2"/>
    <w:rsid w:val="00F44277"/>
    <w:rsid w:val="00F47962"/>
    <w:rsid w:val="00F560CF"/>
    <w:rsid w:val="00F57C25"/>
    <w:rsid w:val="00F60498"/>
    <w:rsid w:val="00F613BE"/>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09C"/>
    <w:rsid w:val="00FA6838"/>
    <w:rsid w:val="00FB02C4"/>
    <w:rsid w:val="00FB1F77"/>
    <w:rsid w:val="00FB20BD"/>
    <w:rsid w:val="00FB4088"/>
    <w:rsid w:val="00FB512D"/>
    <w:rsid w:val="00FC0B1A"/>
    <w:rsid w:val="00FC13E7"/>
    <w:rsid w:val="00FC262F"/>
    <w:rsid w:val="00FD1151"/>
    <w:rsid w:val="00FD5A27"/>
    <w:rsid w:val="00FD6579"/>
    <w:rsid w:val="00FE3512"/>
    <w:rsid w:val="00FE728D"/>
    <w:rsid w:val="05765B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08959901-F6AB-4146-AE69-0EC114A5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sz w:val="18"/>
      <w:szCs w:val="18"/>
    </w:rPr>
  </w:style>
  <w:style w:type="paragraph" w:styleId="a4">
    <w:name w:val="annotation text"/>
    <w:basedOn w:val="a"/>
    <w:link w:val="Char0"/>
    <w:uiPriority w:val="99"/>
    <w:semiHidden/>
    <w:unhideWhenUsed/>
    <w:pPr>
      <w:jc w:val="left"/>
    </w:pPr>
  </w:style>
  <w:style w:type="paragraph" w:styleId="a5">
    <w:name w:val="Body Text"/>
    <w:basedOn w:val="a"/>
    <w:link w:val="Char1"/>
    <w:pPr>
      <w:spacing w:after="120"/>
    </w:p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rPr>
      <w:b/>
      <w:bCs/>
    </w:rPr>
  </w:style>
  <w:style w:type="character" w:styleId="ab">
    <w:name w:val="Strong"/>
    <w:basedOn w:val="a0"/>
    <w:uiPriority w:val="22"/>
    <w:qFormat/>
    <w:rPr>
      <w:b/>
      <w:bCs/>
    </w:rPr>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paragraph" w:customStyle="1" w:styleId="ae">
    <w:name w:val="正文所"/>
    <w:basedOn w:val="a"/>
    <w:qFormat/>
    <w:pPr>
      <w:spacing w:line="360" w:lineRule="auto"/>
      <w:ind w:firstLineChars="200" w:firstLine="420"/>
    </w:pPr>
    <w:rPr>
      <w:rFonts w:ascii="宋体"/>
      <w:szCs w:val="20"/>
    </w:rPr>
  </w:style>
  <w:style w:type="character" w:customStyle="1" w:styleId="Char1">
    <w:name w:val="正文文本 Char"/>
    <w:basedOn w:val="a0"/>
    <w:link w:val="a5"/>
    <w:rPr>
      <w:rFonts w:ascii="Times New Roman" w:eastAsia="宋体" w:hAnsi="Times New Roman" w:cs="Times New Roman"/>
      <w:szCs w:val="24"/>
    </w:rPr>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5">
    <w:name w:val="批注主题 Char"/>
    <w:basedOn w:val="Char0"/>
    <w:link w:val="aa"/>
    <w:uiPriority w:val="99"/>
    <w:semiHidden/>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EF%BC%9B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E4AFAE-8A60-4DC8-888F-8C82CEFE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524</Words>
  <Characters>2989</Characters>
  <Application>Microsoft Office Word</Application>
  <DocSecurity>0</DocSecurity>
  <Lines>24</Lines>
  <Paragraphs>7</Paragraphs>
  <ScaleCrop>false</ScaleCrop>
  <Company>Microsoft</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SHENSHENG</cp:lastModifiedBy>
  <cp:revision>9</cp:revision>
  <cp:lastPrinted>2017-06-19T05:57:00Z</cp:lastPrinted>
  <dcterms:created xsi:type="dcterms:W3CDTF">2021-09-08T06:35:00Z</dcterms:created>
  <dcterms:modified xsi:type="dcterms:W3CDTF">2021-12-30T08:20:00Z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23BF4B0FBE6F4E9B910BFB82C608E60C</vt:lpwstr>
  </property>
</Properties>
</file>