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AAB8" w14:textId="77777777" w:rsidR="00A35690" w:rsidRDefault="00A84BB6">
      <w:pPr>
        <w:widowControl/>
        <w:spacing w:before="100" w:beforeAutospacing="1" w:after="100" w:afterAutospacing="1" w:line="301" w:lineRule="atLeast"/>
        <w:ind w:left="480" w:firstLineChars="200" w:firstLine="562"/>
        <w:jc w:val="center"/>
        <w:outlineLvl w:val="5"/>
        <w:rPr>
          <w:rFonts w:ascii="Times New Roman" w:hAnsi="宋体"/>
          <w:b/>
          <w:bCs/>
          <w:kern w:val="0"/>
          <w:sz w:val="28"/>
          <w:szCs w:val="28"/>
        </w:rPr>
      </w:pPr>
      <w:r>
        <w:rPr>
          <w:rFonts w:ascii="Times New Roman" w:hAnsi="宋体" w:hint="eastAsia"/>
          <w:b/>
          <w:bCs/>
          <w:kern w:val="0"/>
          <w:sz w:val="28"/>
          <w:szCs w:val="28"/>
        </w:rPr>
        <w:t>财通基金管理有限公司</w:t>
      </w:r>
      <w:r>
        <w:rPr>
          <w:rFonts w:ascii="Times New Roman" w:hAnsi="宋体"/>
          <w:b/>
          <w:bCs/>
          <w:kern w:val="0"/>
          <w:sz w:val="28"/>
          <w:szCs w:val="28"/>
        </w:rPr>
        <w:t>关于</w:t>
      </w:r>
      <w:r>
        <w:rPr>
          <w:rFonts w:ascii="Times New Roman" w:hAnsi="宋体" w:hint="eastAsia"/>
          <w:b/>
          <w:bCs/>
          <w:kern w:val="0"/>
          <w:sz w:val="28"/>
          <w:szCs w:val="28"/>
        </w:rPr>
        <w:t>旗下部分基金参与交通银行股份有限公司基金申购费率优惠活动</w:t>
      </w:r>
      <w:r>
        <w:rPr>
          <w:rFonts w:ascii="Times New Roman" w:hAnsi="宋体"/>
          <w:b/>
          <w:bCs/>
          <w:kern w:val="0"/>
          <w:sz w:val="28"/>
          <w:szCs w:val="28"/>
        </w:rPr>
        <w:t>的公告</w:t>
      </w:r>
    </w:p>
    <w:p w14:paraId="5D3DFA15" w14:textId="58704B0D" w:rsidR="00A35690" w:rsidRDefault="00A84BB6">
      <w:pPr>
        <w:spacing w:before="100" w:beforeAutospacing="1" w:after="100" w:afterAutospacing="1" w:line="360" w:lineRule="auto"/>
        <w:ind w:left="480" w:firstLineChars="200" w:firstLine="480"/>
        <w:jc w:val="left"/>
        <w:rPr>
          <w:rFonts w:ascii="Times New Roman" w:hAnsi="Times New Roman"/>
          <w:sz w:val="24"/>
          <w:szCs w:val="24"/>
        </w:rPr>
      </w:pPr>
      <w:r>
        <w:rPr>
          <w:rFonts w:ascii="Times New Roman" w:hAnsi="宋体"/>
          <w:color w:val="000000"/>
          <w:kern w:val="0"/>
          <w:sz w:val="24"/>
          <w:szCs w:val="24"/>
        </w:rPr>
        <w:t>为答谢广大客户长期以来的信任与支持，</w:t>
      </w:r>
      <w:r>
        <w:rPr>
          <w:rFonts w:ascii="Times New Roman" w:hAnsi="宋体" w:hint="eastAsia"/>
          <w:color w:val="000000"/>
          <w:kern w:val="0"/>
          <w:sz w:val="24"/>
          <w:szCs w:val="24"/>
        </w:rPr>
        <w:t>财通基金</w:t>
      </w:r>
      <w:r>
        <w:rPr>
          <w:rFonts w:ascii="Times New Roman" w:hAnsi="宋体"/>
          <w:color w:val="000000"/>
          <w:kern w:val="0"/>
          <w:sz w:val="24"/>
          <w:szCs w:val="24"/>
        </w:rPr>
        <w:t>管理有限公司（下称</w:t>
      </w:r>
      <w:r>
        <w:rPr>
          <w:rFonts w:ascii="Times New Roman" w:hAnsi="宋体" w:hint="eastAsia"/>
          <w:color w:val="000000"/>
          <w:kern w:val="0"/>
          <w:sz w:val="24"/>
          <w:szCs w:val="24"/>
        </w:rPr>
        <w:t>“</w:t>
      </w:r>
      <w:r>
        <w:rPr>
          <w:rFonts w:ascii="Times New Roman" w:hAnsi="宋体"/>
          <w:color w:val="000000"/>
          <w:kern w:val="0"/>
          <w:sz w:val="24"/>
          <w:szCs w:val="24"/>
        </w:rPr>
        <w:t>本公司</w:t>
      </w:r>
      <w:r>
        <w:rPr>
          <w:rFonts w:ascii="Times New Roman" w:hAnsi="宋体" w:hint="eastAsia"/>
          <w:color w:val="000000"/>
          <w:kern w:val="0"/>
          <w:sz w:val="24"/>
          <w:szCs w:val="24"/>
        </w:rPr>
        <w:t>”</w:t>
      </w:r>
      <w:r>
        <w:rPr>
          <w:rFonts w:ascii="Times New Roman" w:hAnsi="宋体"/>
          <w:color w:val="000000"/>
          <w:kern w:val="0"/>
          <w:sz w:val="24"/>
          <w:szCs w:val="24"/>
        </w:rPr>
        <w:t>）经与</w:t>
      </w:r>
      <w:r>
        <w:rPr>
          <w:rFonts w:ascii="Times New Roman" w:hAnsi="宋体" w:hint="eastAsia"/>
          <w:color w:val="000000"/>
          <w:kern w:val="0"/>
          <w:sz w:val="24"/>
          <w:szCs w:val="24"/>
        </w:rPr>
        <w:t>交通银行股份有限公司（</w:t>
      </w:r>
      <w:r>
        <w:rPr>
          <w:rFonts w:ascii="Times New Roman" w:hAnsi="宋体"/>
          <w:color w:val="000000"/>
          <w:kern w:val="0"/>
          <w:sz w:val="24"/>
          <w:szCs w:val="24"/>
        </w:rPr>
        <w:t>下称：“</w:t>
      </w:r>
      <w:r>
        <w:rPr>
          <w:rFonts w:ascii="Times New Roman" w:hAnsi="宋体" w:hint="eastAsia"/>
          <w:color w:val="000000"/>
          <w:kern w:val="0"/>
          <w:sz w:val="24"/>
          <w:szCs w:val="24"/>
        </w:rPr>
        <w:t>交通银行</w:t>
      </w:r>
      <w:r>
        <w:rPr>
          <w:rFonts w:ascii="Times New Roman" w:hAnsi="宋体"/>
          <w:color w:val="000000"/>
          <w:kern w:val="0"/>
          <w:sz w:val="24"/>
          <w:szCs w:val="24"/>
        </w:rPr>
        <w:t>”</w:t>
      </w:r>
      <w:r>
        <w:rPr>
          <w:rFonts w:ascii="Times New Roman" w:hAnsi="宋体" w:hint="eastAsia"/>
          <w:color w:val="000000"/>
          <w:kern w:val="0"/>
          <w:sz w:val="24"/>
          <w:szCs w:val="24"/>
        </w:rPr>
        <w:t>）协商一致</w:t>
      </w:r>
      <w:r>
        <w:rPr>
          <w:rFonts w:ascii="Times New Roman" w:hAnsi="宋体"/>
          <w:color w:val="000000"/>
          <w:kern w:val="0"/>
          <w:sz w:val="24"/>
          <w:szCs w:val="24"/>
        </w:rPr>
        <w:t>，</w:t>
      </w:r>
      <w:r>
        <w:rPr>
          <w:rFonts w:ascii="Times New Roman" w:hAnsi="宋体" w:hint="eastAsia"/>
          <w:color w:val="000000"/>
          <w:kern w:val="0"/>
          <w:sz w:val="24"/>
          <w:szCs w:val="24"/>
        </w:rPr>
        <w:t>自</w:t>
      </w:r>
      <w:r w:rsidR="00043E3B">
        <w:rPr>
          <w:rFonts w:ascii="Times New Roman" w:hAnsi="宋体" w:hint="eastAsia"/>
          <w:color w:val="000000"/>
          <w:kern w:val="0"/>
          <w:sz w:val="24"/>
          <w:szCs w:val="24"/>
        </w:rPr>
        <w:t>202</w:t>
      </w:r>
      <w:r w:rsidR="00043E3B">
        <w:rPr>
          <w:rFonts w:ascii="Times New Roman" w:hAnsi="宋体"/>
          <w:color w:val="000000"/>
          <w:kern w:val="0"/>
          <w:sz w:val="24"/>
          <w:szCs w:val="24"/>
        </w:rPr>
        <w:t>2</w:t>
      </w:r>
      <w:r>
        <w:rPr>
          <w:rFonts w:ascii="Times New Roman" w:hAnsi="宋体" w:hint="eastAsia"/>
          <w:color w:val="000000"/>
          <w:kern w:val="0"/>
          <w:sz w:val="24"/>
          <w:szCs w:val="24"/>
        </w:rPr>
        <w:t>年</w:t>
      </w:r>
      <w:r w:rsidR="00043E3B">
        <w:rPr>
          <w:rFonts w:ascii="Times New Roman" w:hAnsi="宋体"/>
          <w:color w:val="000000"/>
          <w:kern w:val="0"/>
          <w:sz w:val="24"/>
          <w:szCs w:val="24"/>
        </w:rPr>
        <w:t>1</w:t>
      </w:r>
      <w:r>
        <w:rPr>
          <w:rFonts w:ascii="Times New Roman" w:hAnsi="宋体" w:hint="eastAsia"/>
          <w:color w:val="000000"/>
          <w:kern w:val="0"/>
          <w:sz w:val="24"/>
          <w:szCs w:val="24"/>
        </w:rPr>
        <w:t>月</w:t>
      </w:r>
      <w:r w:rsidR="00C04E88">
        <w:rPr>
          <w:rFonts w:ascii="Times New Roman" w:hAnsi="宋体"/>
          <w:color w:val="000000"/>
          <w:kern w:val="0"/>
          <w:sz w:val="24"/>
          <w:szCs w:val="24"/>
        </w:rPr>
        <w:t>4</w:t>
      </w:r>
      <w:r>
        <w:rPr>
          <w:rFonts w:ascii="Times New Roman" w:hAnsi="宋体" w:hint="eastAsia"/>
          <w:color w:val="000000"/>
          <w:kern w:val="0"/>
          <w:sz w:val="24"/>
          <w:szCs w:val="24"/>
        </w:rPr>
        <w:t>日至</w:t>
      </w:r>
      <w:r w:rsidR="00043E3B">
        <w:rPr>
          <w:rFonts w:ascii="Times New Roman" w:hAnsi="宋体" w:hint="eastAsia"/>
          <w:color w:val="000000"/>
          <w:kern w:val="0"/>
          <w:sz w:val="24"/>
          <w:szCs w:val="24"/>
        </w:rPr>
        <w:t>202</w:t>
      </w:r>
      <w:r w:rsidR="00043E3B">
        <w:rPr>
          <w:rFonts w:ascii="Times New Roman" w:hAnsi="宋体"/>
          <w:color w:val="000000"/>
          <w:kern w:val="0"/>
          <w:sz w:val="24"/>
          <w:szCs w:val="24"/>
        </w:rPr>
        <w:t>2</w:t>
      </w:r>
      <w:r>
        <w:rPr>
          <w:rFonts w:ascii="Times New Roman" w:hAnsi="宋体" w:hint="eastAsia"/>
          <w:color w:val="000000"/>
          <w:kern w:val="0"/>
          <w:sz w:val="24"/>
          <w:szCs w:val="24"/>
        </w:rPr>
        <w:t>年</w:t>
      </w:r>
      <w:r w:rsidR="00AE438E">
        <w:rPr>
          <w:rFonts w:ascii="Times New Roman" w:hAnsi="宋体" w:hint="eastAsia"/>
          <w:color w:val="000000"/>
          <w:kern w:val="0"/>
          <w:sz w:val="24"/>
          <w:szCs w:val="24"/>
        </w:rPr>
        <w:t>12</w:t>
      </w:r>
      <w:r>
        <w:rPr>
          <w:rFonts w:ascii="Times New Roman" w:hAnsi="宋体" w:hint="eastAsia"/>
          <w:color w:val="000000"/>
          <w:kern w:val="0"/>
          <w:sz w:val="24"/>
          <w:szCs w:val="24"/>
        </w:rPr>
        <w:t>月</w:t>
      </w:r>
      <w:r>
        <w:rPr>
          <w:rFonts w:ascii="Times New Roman" w:hAnsi="宋体" w:hint="eastAsia"/>
          <w:color w:val="000000"/>
          <w:kern w:val="0"/>
          <w:sz w:val="24"/>
          <w:szCs w:val="24"/>
        </w:rPr>
        <w:t>3</w:t>
      </w:r>
      <w:r w:rsidR="00AE438E">
        <w:rPr>
          <w:rFonts w:ascii="Times New Roman" w:hAnsi="宋体" w:hint="eastAsia"/>
          <w:color w:val="000000"/>
          <w:kern w:val="0"/>
          <w:sz w:val="24"/>
          <w:szCs w:val="24"/>
        </w:rPr>
        <w:t>1</w:t>
      </w:r>
      <w:r>
        <w:rPr>
          <w:rFonts w:ascii="Times New Roman" w:hAnsi="宋体" w:hint="eastAsia"/>
          <w:color w:val="000000"/>
          <w:kern w:val="0"/>
          <w:sz w:val="24"/>
          <w:szCs w:val="24"/>
        </w:rPr>
        <w:t>日（截至当日法定交易时间）期间，对通过交通银行指定方式申购（包含定期定额申购）</w:t>
      </w:r>
      <w:r>
        <w:rPr>
          <w:rFonts w:ascii="Times New Roman" w:hAnsi="宋体"/>
          <w:color w:val="000000"/>
          <w:kern w:val="0"/>
          <w:sz w:val="24"/>
          <w:szCs w:val="24"/>
        </w:rPr>
        <w:t>本公司旗下部分基金实行费率优惠，现将有关事项公告如下：</w:t>
      </w:r>
    </w:p>
    <w:p w14:paraId="2DAFDC09"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4E990808" w14:textId="3F4E8744" w:rsidR="00A35690" w:rsidRDefault="005D00ED">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202</w:t>
      </w:r>
      <w:r>
        <w:rPr>
          <w:rFonts w:ascii="Times New Roman" w:hAnsi="宋体"/>
          <w:color w:val="000000"/>
          <w:kern w:val="0"/>
          <w:sz w:val="24"/>
          <w:szCs w:val="24"/>
        </w:rPr>
        <w:t>2</w:t>
      </w:r>
      <w:r>
        <w:rPr>
          <w:rFonts w:ascii="Times New Roman" w:hAnsi="宋体" w:hint="eastAsia"/>
          <w:color w:val="000000"/>
          <w:kern w:val="0"/>
          <w:sz w:val="24"/>
          <w:szCs w:val="24"/>
        </w:rPr>
        <w:t>年</w:t>
      </w:r>
      <w:r>
        <w:rPr>
          <w:rFonts w:ascii="Times New Roman" w:hAnsi="宋体"/>
          <w:color w:val="000000"/>
          <w:kern w:val="0"/>
          <w:sz w:val="24"/>
          <w:szCs w:val="24"/>
        </w:rPr>
        <w:t>1</w:t>
      </w:r>
      <w:r>
        <w:rPr>
          <w:rFonts w:ascii="Times New Roman" w:hAnsi="宋体" w:hint="eastAsia"/>
          <w:color w:val="000000"/>
          <w:kern w:val="0"/>
          <w:sz w:val="24"/>
          <w:szCs w:val="24"/>
        </w:rPr>
        <w:t>月</w:t>
      </w:r>
      <w:r w:rsidR="00C04E88">
        <w:rPr>
          <w:rFonts w:ascii="Times New Roman" w:hAnsi="宋体"/>
          <w:color w:val="000000"/>
          <w:kern w:val="0"/>
          <w:sz w:val="24"/>
          <w:szCs w:val="24"/>
        </w:rPr>
        <w:t>4</w:t>
      </w:r>
      <w:r>
        <w:rPr>
          <w:rFonts w:ascii="Times New Roman" w:hAnsi="宋体" w:hint="eastAsia"/>
          <w:color w:val="000000"/>
          <w:kern w:val="0"/>
          <w:sz w:val="24"/>
          <w:szCs w:val="24"/>
        </w:rPr>
        <w:t>日至</w:t>
      </w:r>
      <w:r>
        <w:rPr>
          <w:rFonts w:ascii="Times New Roman" w:hAnsi="宋体" w:hint="eastAsia"/>
          <w:color w:val="000000"/>
          <w:kern w:val="0"/>
          <w:sz w:val="24"/>
          <w:szCs w:val="24"/>
        </w:rPr>
        <w:t>202</w:t>
      </w:r>
      <w:r>
        <w:rPr>
          <w:rFonts w:ascii="Times New Roman" w:hAnsi="宋体"/>
          <w:color w:val="000000"/>
          <w:kern w:val="0"/>
          <w:sz w:val="24"/>
          <w:szCs w:val="24"/>
        </w:rPr>
        <w:t>2</w:t>
      </w:r>
      <w:r>
        <w:rPr>
          <w:rFonts w:ascii="Times New Roman" w:hAnsi="宋体" w:hint="eastAsia"/>
          <w:color w:val="000000"/>
          <w:kern w:val="0"/>
          <w:sz w:val="24"/>
          <w:szCs w:val="24"/>
        </w:rPr>
        <w:t>年</w:t>
      </w:r>
      <w:r>
        <w:rPr>
          <w:rFonts w:ascii="Times New Roman" w:hAnsi="宋体" w:hint="eastAsia"/>
          <w:color w:val="000000"/>
          <w:kern w:val="0"/>
          <w:sz w:val="24"/>
          <w:szCs w:val="24"/>
        </w:rPr>
        <w:t>12</w:t>
      </w:r>
      <w:r>
        <w:rPr>
          <w:rFonts w:ascii="Times New Roman" w:hAnsi="宋体" w:hint="eastAsia"/>
          <w:color w:val="000000"/>
          <w:kern w:val="0"/>
          <w:sz w:val="24"/>
          <w:szCs w:val="24"/>
        </w:rPr>
        <w:t>月</w:t>
      </w:r>
      <w:r>
        <w:rPr>
          <w:rFonts w:ascii="Times New Roman" w:hAnsi="宋体" w:hint="eastAsia"/>
          <w:color w:val="000000"/>
          <w:kern w:val="0"/>
          <w:sz w:val="24"/>
          <w:szCs w:val="24"/>
        </w:rPr>
        <w:t>31</w:t>
      </w:r>
      <w:r w:rsidR="00A84BB6">
        <w:rPr>
          <w:rFonts w:ascii="Times New Roman" w:hAnsi="宋体" w:hint="eastAsia"/>
          <w:color w:val="000000"/>
          <w:kern w:val="0"/>
          <w:sz w:val="24"/>
          <w:szCs w:val="24"/>
        </w:rPr>
        <w:t>日全部法定基金交易日，办理时间如有变化，敬请投资者留意本公司或销售机构的有关公告。</w:t>
      </w:r>
    </w:p>
    <w:p w14:paraId="5FD5EEAD"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14:paraId="2D323F89" w14:textId="77777777"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财通可持续发展主题混合型证券投资基金（基金代码：</w:t>
      </w:r>
      <w:r>
        <w:rPr>
          <w:rFonts w:ascii="Times New Roman" w:hAnsi="宋体"/>
          <w:color w:val="000000"/>
          <w:kern w:val="0"/>
          <w:sz w:val="24"/>
          <w:szCs w:val="24"/>
        </w:rPr>
        <w:t>000017</w:t>
      </w:r>
      <w:r>
        <w:rPr>
          <w:rFonts w:ascii="Times New Roman" w:hAnsi="宋体" w:hint="eastAsia"/>
          <w:color w:val="000000"/>
          <w:kern w:val="0"/>
          <w:sz w:val="24"/>
          <w:szCs w:val="24"/>
        </w:rPr>
        <w:t>）；</w:t>
      </w:r>
    </w:p>
    <w:p w14:paraId="7BBC38B1" w14:textId="77777777"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 xml:space="preserve"> (A</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005959</w:t>
      </w:r>
      <w:r>
        <w:rPr>
          <w:rFonts w:ascii="Times New Roman" w:hAnsi="宋体" w:hint="eastAsia"/>
          <w:color w:val="000000"/>
          <w:kern w:val="0"/>
          <w:sz w:val="24"/>
          <w:szCs w:val="24"/>
        </w:rPr>
        <w:t>)</w:t>
      </w:r>
      <w:r>
        <w:rPr>
          <w:rFonts w:ascii="Times New Roman" w:hAnsi="宋体" w:hint="eastAsia"/>
          <w:color w:val="000000"/>
          <w:kern w:val="0"/>
          <w:sz w:val="24"/>
          <w:szCs w:val="24"/>
        </w:rPr>
        <w:t>；</w:t>
      </w:r>
    </w:p>
    <w:p w14:paraId="7ED7DAE7" w14:textId="44695184"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财通科技创新混合型证券投资基金（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008983</w:t>
      </w:r>
      <w:r w:rsidR="008212C0">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008984</w:t>
      </w:r>
      <w:r>
        <w:rPr>
          <w:rFonts w:ascii="Times New Roman" w:hAnsi="宋体" w:hint="eastAsia"/>
          <w:color w:val="000000"/>
          <w:kern w:val="0"/>
          <w:sz w:val="24"/>
          <w:szCs w:val="24"/>
        </w:rPr>
        <w:t>）；</w:t>
      </w:r>
    </w:p>
    <w:p w14:paraId="39F5D2D2" w14:textId="1768FEC3"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财通智慧成长混合型证券投资基金（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009062</w:t>
      </w:r>
      <w:r w:rsidR="008212C0">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009063</w:t>
      </w:r>
      <w:r>
        <w:rPr>
          <w:rFonts w:ascii="Times New Roman" w:hAnsi="宋体" w:hint="eastAsia"/>
          <w:color w:val="000000"/>
          <w:kern w:val="0"/>
          <w:sz w:val="24"/>
          <w:szCs w:val="24"/>
        </w:rPr>
        <w:t>）；</w:t>
      </w:r>
    </w:p>
    <w:p w14:paraId="26A5825B" w14:textId="77777777"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财通价值动量混合型证券投资基金（基金代码：</w:t>
      </w:r>
      <w:r>
        <w:rPr>
          <w:rFonts w:ascii="Times New Roman" w:hAnsi="宋体"/>
          <w:color w:val="000000"/>
          <w:kern w:val="0"/>
          <w:sz w:val="24"/>
          <w:szCs w:val="24"/>
        </w:rPr>
        <w:t>720001</w:t>
      </w:r>
      <w:r>
        <w:rPr>
          <w:rFonts w:ascii="Times New Roman" w:hAnsi="宋体" w:hint="eastAsia"/>
          <w:color w:val="000000"/>
          <w:kern w:val="0"/>
          <w:sz w:val="24"/>
          <w:szCs w:val="24"/>
        </w:rPr>
        <w:t>）；</w:t>
      </w:r>
    </w:p>
    <w:p w14:paraId="36869C26" w14:textId="77777777"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财通可转债债券型证券投资基金</w:t>
      </w:r>
      <w:r>
        <w:rPr>
          <w:rFonts w:ascii="Times New Roman" w:hAnsi="宋体"/>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720002</w:t>
      </w:r>
      <w:r>
        <w:rPr>
          <w:rFonts w:ascii="Times New Roman" w:hAnsi="宋体" w:hint="eastAsia"/>
          <w:color w:val="000000"/>
          <w:kern w:val="0"/>
          <w:sz w:val="24"/>
          <w:szCs w:val="24"/>
        </w:rPr>
        <w:t>）；</w:t>
      </w:r>
    </w:p>
    <w:p w14:paraId="65213565" w14:textId="77777777" w:rsidR="00D66BB0" w:rsidRDefault="00D66BB0"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财通收益增强债券型证券投资基金</w:t>
      </w:r>
      <w:r>
        <w:rPr>
          <w:rFonts w:ascii="Times New Roman" w:hAnsi="宋体"/>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720003</w:t>
      </w:r>
      <w:r>
        <w:rPr>
          <w:rFonts w:ascii="Times New Roman" w:hAnsi="宋体" w:hint="eastAsia"/>
          <w:color w:val="000000"/>
          <w:kern w:val="0"/>
          <w:sz w:val="24"/>
          <w:szCs w:val="24"/>
        </w:rPr>
        <w:t>）；</w:t>
      </w:r>
    </w:p>
    <w:p w14:paraId="13D8A5B5" w14:textId="18D584A9" w:rsidR="00D66BB0" w:rsidRDefault="004E6F4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1" w:name="_GoBack"/>
      <w:bookmarkEnd w:id="1"/>
      <w:r w:rsidRPr="005D448E">
        <w:rPr>
          <w:rFonts w:ascii="Times New Roman" w:hAnsi="宋体" w:hint="eastAsia"/>
          <w:color w:val="000000"/>
          <w:kern w:val="0"/>
          <w:sz w:val="24"/>
          <w:szCs w:val="24"/>
        </w:rPr>
        <w:lastRenderedPageBreak/>
        <w:t>中证财通中国可持续发展</w:t>
      </w:r>
      <w:r w:rsidRPr="005D448E">
        <w:rPr>
          <w:rFonts w:ascii="Times New Roman" w:hAnsi="宋体"/>
          <w:color w:val="000000"/>
          <w:kern w:val="0"/>
          <w:sz w:val="24"/>
          <w:szCs w:val="24"/>
        </w:rPr>
        <w:t>100(ECPI ESG)</w:t>
      </w:r>
      <w:r w:rsidRPr="005D448E">
        <w:rPr>
          <w:rFonts w:ascii="Times New Roman" w:hAnsi="宋体" w:hint="eastAsia"/>
          <w:color w:val="000000"/>
          <w:kern w:val="0"/>
          <w:sz w:val="24"/>
          <w:szCs w:val="24"/>
        </w:rPr>
        <w:t>指数增强型证券投资基金</w:t>
      </w:r>
      <w:r w:rsidR="0045099A">
        <w:rPr>
          <w:rFonts w:ascii="Times New Roman" w:hAnsi="宋体" w:hint="eastAsia"/>
          <w:color w:val="000000"/>
          <w:kern w:val="0"/>
          <w:sz w:val="24"/>
          <w:szCs w:val="24"/>
        </w:rPr>
        <w:t>A</w:t>
      </w:r>
      <w:r w:rsidR="00D66BB0">
        <w:rPr>
          <w:rFonts w:ascii="Times New Roman" w:hAnsi="宋体" w:hint="eastAsia"/>
          <w:color w:val="000000"/>
          <w:kern w:val="0"/>
          <w:sz w:val="24"/>
          <w:szCs w:val="24"/>
        </w:rPr>
        <w:t>（基金代码：</w:t>
      </w:r>
      <w:r w:rsidR="00D66BB0">
        <w:rPr>
          <w:rFonts w:ascii="Times New Roman" w:hAnsi="宋体"/>
          <w:color w:val="000000"/>
          <w:kern w:val="0"/>
          <w:sz w:val="24"/>
          <w:szCs w:val="24"/>
        </w:rPr>
        <w:t>000042</w:t>
      </w:r>
      <w:r w:rsidR="00D66BB0">
        <w:rPr>
          <w:rFonts w:ascii="Times New Roman" w:hAnsi="宋体" w:hint="eastAsia"/>
          <w:color w:val="000000"/>
          <w:kern w:val="0"/>
          <w:sz w:val="24"/>
          <w:szCs w:val="24"/>
        </w:rPr>
        <w:t>）；</w:t>
      </w:r>
    </w:p>
    <w:p w14:paraId="061CE257" w14:textId="77777777" w:rsidR="0011175F" w:rsidRDefault="0011175F" w:rsidP="0011175F">
      <w:pPr>
        <w:spacing w:before="100" w:beforeAutospacing="1" w:after="100" w:afterAutospacing="1" w:line="360" w:lineRule="auto"/>
        <w:ind w:firstLine="480"/>
        <w:rPr>
          <w:rFonts w:ascii="Times New Roman" w:hAnsi="Times New Roman"/>
          <w:color w:val="000000"/>
          <w:kern w:val="0"/>
          <w:sz w:val="24"/>
          <w:szCs w:val="24"/>
        </w:rPr>
      </w:pPr>
      <w:r>
        <w:rPr>
          <w:rFonts w:ascii="宋体" w:hAnsi="宋体" w:hint="eastAsia"/>
          <w:color w:val="000000"/>
          <w:sz w:val="24"/>
          <w:szCs w:val="24"/>
        </w:rPr>
        <w:t>财通多策略精选混合型证券投资基金（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501001</w:t>
      </w:r>
      <w:r>
        <w:rPr>
          <w:rFonts w:ascii="宋体" w:hAnsi="宋体" w:hint="eastAsia"/>
          <w:color w:val="000000"/>
          <w:sz w:val="24"/>
          <w:szCs w:val="24"/>
        </w:rPr>
        <w:t>）；</w:t>
      </w:r>
    </w:p>
    <w:p w14:paraId="1D23CDA5" w14:textId="77777777" w:rsidR="0011175F" w:rsidRDefault="0011175F" w:rsidP="0011175F">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财通多策略升级混合型证券投资基金（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501015</w:t>
      </w:r>
      <w:r>
        <w:rPr>
          <w:rFonts w:ascii="宋体" w:hAnsi="宋体" w:hint="eastAsia"/>
          <w:color w:val="000000"/>
          <w:sz w:val="24"/>
          <w:szCs w:val="24"/>
        </w:rPr>
        <w:t>）；</w:t>
      </w:r>
    </w:p>
    <w:p w14:paraId="0194E29A" w14:textId="77777777" w:rsidR="0011175F" w:rsidRDefault="0011175F" w:rsidP="0011175F">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财通多策略福享混合型证券投资基金（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501026</w:t>
      </w:r>
      <w:r>
        <w:rPr>
          <w:rFonts w:ascii="宋体" w:hAnsi="宋体" w:hint="eastAsia"/>
          <w:color w:val="000000"/>
          <w:sz w:val="24"/>
          <w:szCs w:val="24"/>
        </w:rPr>
        <w:t>）；</w:t>
      </w:r>
    </w:p>
    <w:p w14:paraId="47C5CF23" w14:textId="77777777" w:rsidR="0011175F" w:rsidRDefault="0011175F" w:rsidP="0011175F">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财通多策略福瑞混合型发起式证券投资基金（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501028</w:t>
      </w:r>
      <w:r>
        <w:rPr>
          <w:rFonts w:ascii="宋体" w:hAnsi="宋体" w:hint="eastAsia"/>
          <w:color w:val="000000"/>
          <w:sz w:val="24"/>
          <w:szCs w:val="24"/>
        </w:rPr>
        <w:t>）；</w:t>
      </w:r>
    </w:p>
    <w:p w14:paraId="0AA85D77" w14:textId="6D044BA6" w:rsidR="0011175F" w:rsidRDefault="0011175F" w:rsidP="0011175F">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财通福盛多策略混合型发起式证券投资基金（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501032</w:t>
      </w:r>
      <w:r>
        <w:rPr>
          <w:rFonts w:ascii="宋体" w:hAnsi="宋体" w:hint="eastAsia"/>
          <w:color w:val="000000"/>
          <w:sz w:val="24"/>
          <w:szCs w:val="24"/>
        </w:rPr>
        <w:t>）</w:t>
      </w:r>
      <w:r w:rsidR="00AA576E">
        <w:rPr>
          <w:rFonts w:ascii="宋体" w:hAnsi="宋体" w:hint="eastAsia"/>
          <w:color w:val="000000"/>
          <w:sz w:val="24"/>
          <w:szCs w:val="24"/>
        </w:rPr>
        <w:t>。</w:t>
      </w:r>
    </w:p>
    <w:p w14:paraId="3752D93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006497F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本活动适用于依据有关法律法规和基金合同规定可以投资证券投资基金，并通过</w:t>
      </w:r>
      <w:r>
        <w:rPr>
          <w:rFonts w:ascii="Times New Roman" w:hAnsi="宋体" w:hint="eastAsia"/>
          <w:color w:val="000000"/>
          <w:kern w:val="0"/>
          <w:sz w:val="24"/>
          <w:szCs w:val="24"/>
        </w:rPr>
        <w:t>交通银行指定方式</w:t>
      </w:r>
      <w:r>
        <w:rPr>
          <w:rFonts w:ascii="Times New Roman" w:hAnsi="宋体"/>
          <w:color w:val="000000"/>
          <w:kern w:val="0"/>
          <w:sz w:val="24"/>
          <w:szCs w:val="24"/>
        </w:rPr>
        <w:t>申购</w:t>
      </w:r>
      <w:r>
        <w:rPr>
          <w:rFonts w:ascii="Times New Roman" w:hAnsi="宋体" w:hint="eastAsia"/>
          <w:color w:val="000000"/>
          <w:kern w:val="0"/>
          <w:sz w:val="24"/>
          <w:szCs w:val="24"/>
        </w:rPr>
        <w:t>（包含定期定额申购）</w:t>
      </w:r>
      <w:r>
        <w:rPr>
          <w:rFonts w:ascii="Times New Roman" w:hAnsi="宋体"/>
          <w:color w:val="000000"/>
          <w:kern w:val="0"/>
          <w:sz w:val="24"/>
          <w:szCs w:val="24"/>
        </w:rPr>
        <w:t>本公司上述基金的投资者。</w:t>
      </w:r>
    </w:p>
    <w:p w14:paraId="2E265E9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Pr>
          <w:rFonts w:ascii="Times New Roman" w:hAnsi="宋体"/>
          <w:color w:val="000000"/>
          <w:kern w:val="0"/>
          <w:sz w:val="24"/>
          <w:szCs w:val="24"/>
        </w:rPr>
        <w:t>、费率优惠</w:t>
      </w:r>
      <w:r>
        <w:rPr>
          <w:rFonts w:ascii="Times New Roman" w:hAnsi="宋体" w:hint="eastAsia"/>
          <w:color w:val="000000"/>
          <w:kern w:val="0"/>
          <w:sz w:val="24"/>
          <w:szCs w:val="24"/>
        </w:rPr>
        <w:t>内容</w:t>
      </w:r>
    </w:p>
    <w:p w14:paraId="11074609" w14:textId="5A76CCDD"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2" w:name="_Hlk59121283"/>
      <w:r>
        <w:rPr>
          <w:rFonts w:ascii="Times New Roman" w:hAnsi="宋体" w:hint="eastAsia"/>
          <w:color w:val="000000"/>
          <w:kern w:val="0"/>
          <w:sz w:val="24"/>
          <w:szCs w:val="24"/>
        </w:rPr>
        <w:t>1</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2367A4">
        <w:rPr>
          <w:rFonts w:ascii="Times New Roman" w:hAnsi="宋体" w:hint="eastAsia"/>
          <w:color w:val="000000"/>
          <w:kern w:val="0"/>
          <w:sz w:val="24"/>
          <w:szCs w:val="24"/>
        </w:rPr>
        <w:t>投资者</w:t>
      </w:r>
      <w:r w:rsidR="00F06E0D" w:rsidRPr="005D448E">
        <w:rPr>
          <w:rFonts w:ascii="Times New Roman" w:hAnsi="宋体" w:hint="eastAsia"/>
          <w:color w:val="000000"/>
          <w:kern w:val="0"/>
          <w:sz w:val="24"/>
          <w:szCs w:val="24"/>
        </w:rPr>
        <w:t>通过手机银行渠道申购（含</w:t>
      </w:r>
      <w:r w:rsidR="002367A4">
        <w:rPr>
          <w:rFonts w:ascii="Times New Roman" w:hAnsi="宋体" w:hint="eastAsia"/>
          <w:color w:val="000000"/>
          <w:kern w:val="0"/>
          <w:sz w:val="24"/>
          <w:szCs w:val="24"/>
        </w:rPr>
        <w:t>定期定额申购</w:t>
      </w:r>
      <w:r w:rsidR="00F06E0D" w:rsidRPr="005D448E">
        <w:rPr>
          <w:rFonts w:ascii="Times New Roman" w:hAnsi="宋体" w:hint="eastAsia"/>
          <w:color w:val="000000"/>
          <w:kern w:val="0"/>
          <w:sz w:val="24"/>
          <w:szCs w:val="24"/>
        </w:rPr>
        <w:t>）</w:t>
      </w:r>
      <w:r w:rsidR="002A1426">
        <w:rPr>
          <w:rFonts w:ascii="Times New Roman" w:hAnsi="宋体" w:hint="eastAsia"/>
          <w:color w:val="000000"/>
          <w:kern w:val="0"/>
          <w:sz w:val="24"/>
          <w:szCs w:val="24"/>
        </w:rPr>
        <w:t>上述</w:t>
      </w:r>
      <w:r w:rsidR="00F06E0D" w:rsidRPr="005D448E">
        <w:rPr>
          <w:rFonts w:ascii="Times New Roman" w:hAnsi="宋体" w:hint="eastAsia"/>
          <w:color w:val="000000"/>
          <w:kern w:val="0"/>
          <w:sz w:val="24"/>
          <w:szCs w:val="24"/>
        </w:rPr>
        <w:t>基金，且交易类型为前端收费公募基金的申购（含</w:t>
      </w:r>
      <w:r w:rsidR="002367A4">
        <w:rPr>
          <w:rFonts w:ascii="Times New Roman" w:hAnsi="宋体" w:hint="eastAsia"/>
          <w:color w:val="000000"/>
          <w:kern w:val="0"/>
          <w:sz w:val="24"/>
          <w:szCs w:val="24"/>
        </w:rPr>
        <w:t>定期定额申购</w:t>
      </w:r>
      <w:r w:rsidR="00F06E0D" w:rsidRPr="005D448E">
        <w:rPr>
          <w:rFonts w:ascii="Times New Roman" w:hAnsi="宋体" w:hint="eastAsia"/>
          <w:color w:val="000000"/>
          <w:kern w:val="0"/>
          <w:sz w:val="24"/>
          <w:szCs w:val="24"/>
        </w:rPr>
        <w:t>）交易的，</w:t>
      </w:r>
      <w:r w:rsidR="00122F5C" w:rsidRPr="00122F5C">
        <w:rPr>
          <w:rFonts w:ascii="Times New Roman" w:hAnsi="宋体" w:hint="eastAsia"/>
          <w:color w:val="000000"/>
          <w:kern w:val="0"/>
          <w:sz w:val="24"/>
          <w:szCs w:val="24"/>
        </w:rPr>
        <w:t>享受基金申购费率</w:t>
      </w:r>
      <w:r w:rsidR="00122F5C">
        <w:rPr>
          <w:rFonts w:ascii="Times New Roman" w:hAnsi="宋体"/>
          <w:color w:val="000000"/>
          <w:kern w:val="0"/>
          <w:sz w:val="24"/>
          <w:szCs w:val="24"/>
        </w:rPr>
        <w:t>1</w:t>
      </w:r>
      <w:r w:rsidR="00122F5C" w:rsidRPr="00122F5C">
        <w:rPr>
          <w:rFonts w:ascii="Times New Roman" w:hAnsi="宋体" w:hint="eastAsia"/>
          <w:color w:val="000000"/>
          <w:kern w:val="0"/>
          <w:sz w:val="24"/>
          <w:szCs w:val="24"/>
        </w:rPr>
        <w:t>折</w:t>
      </w:r>
      <w:r w:rsidR="00122F5C">
        <w:rPr>
          <w:rFonts w:ascii="Times New Roman" w:hAnsi="宋体" w:hint="eastAsia"/>
          <w:color w:val="000000"/>
          <w:kern w:val="0"/>
          <w:sz w:val="24"/>
          <w:szCs w:val="24"/>
        </w:rPr>
        <w:t>优惠</w:t>
      </w:r>
      <w:r>
        <w:rPr>
          <w:rFonts w:ascii="Times New Roman" w:hAnsi="宋体"/>
          <w:color w:val="000000"/>
          <w:kern w:val="0"/>
          <w:sz w:val="24"/>
          <w:szCs w:val="24"/>
        </w:rPr>
        <w:t>。</w:t>
      </w:r>
    </w:p>
    <w:p w14:paraId="5F168934" w14:textId="3CB08A39" w:rsidR="00F06E0D" w:rsidRPr="005D448E"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3" w:name="_Hlk59448826"/>
      <w:r>
        <w:rPr>
          <w:rFonts w:ascii="Times New Roman" w:hAnsi="宋体" w:hint="eastAsia"/>
          <w:color w:val="000000"/>
          <w:kern w:val="0"/>
          <w:sz w:val="24"/>
          <w:szCs w:val="24"/>
        </w:rPr>
        <w:t>2</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00F06E0D" w:rsidRPr="005D448E">
        <w:rPr>
          <w:rFonts w:ascii="Times New Roman" w:hAnsi="宋体" w:hint="eastAsia"/>
          <w:color w:val="000000"/>
          <w:kern w:val="0"/>
          <w:sz w:val="24"/>
          <w:szCs w:val="24"/>
        </w:rPr>
        <w:t>通过柜面渠道、网银渠道</w:t>
      </w:r>
      <w:r w:rsidR="00E9375A">
        <w:rPr>
          <w:rFonts w:ascii="Times New Roman" w:hAnsi="宋体" w:hint="eastAsia"/>
          <w:color w:val="000000"/>
          <w:kern w:val="0"/>
          <w:sz w:val="24"/>
          <w:szCs w:val="24"/>
        </w:rPr>
        <w:t>定期定额申购</w:t>
      </w:r>
      <w:r w:rsidR="00050425">
        <w:rPr>
          <w:rFonts w:ascii="Times New Roman" w:hAnsi="宋体" w:hint="eastAsia"/>
          <w:color w:val="000000"/>
          <w:kern w:val="0"/>
          <w:sz w:val="24"/>
          <w:szCs w:val="24"/>
        </w:rPr>
        <w:t>上述</w:t>
      </w:r>
      <w:r w:rsidR="00F06E0D" w:rsidRPr="005D448E">
        <w:rPr>
          <w:rFonts w:ascii="Times New Roman" w:hAnsi="宋体" w:hint="eastAsia"/>
          <w:color w:val="000000"/>
          <w:kern w:val="0"/>
          <w:sz w:val="24"/>
          <w:szCs w:val="24"/>
        </w:rPr>
        <w:t>基金，且交易类型为前端收费公募基金的定投交易的，</w:t>
      </w:r>
      <w:r w:rsidR="00B10683" w:rsidRPr="00122F5C">
        <w:rPr>
          <w:rFonts w:ascii="Times New Roman" w:hAnsi="宋体" w:hint="eastAsia"/>
          <w:color w:val="000000"/>
          <w:kern w:val="0"/>
          <w:sz w:val="24"/>
          <w:szCs w:val="24"/>
        </w:rPr>
        <w:t>享</w:t>
      </w:r>
      <w:r w:rsidR="003941A6" w:rsidRPr="00122F5C">
        <w:rPr>
          <w:rFonts w:ascii="Times New Roman" w:hAnsi="宋体" w:hint="eastAsia"/>
          <w:color w:val="000000"/>
          <w:kern w:val="0"/>
          <w:sz w:val="24"/>
          <w:szCs w:val="24"/>
        </w:rPr>
        <w:t>受基金</w:t>
      </w:r>
      <w:r w:rsidR="003941A6">
        <w:rPr>
          <w:rFonts w:ascii="Times New Roman" w:hAnsi="宋体" w:hint="eastAsia"/>
          <w:color w:val="000000"/>
          <w:kern w:val="0"/>
          <w:sz w:val="24"/>
          <w:szCs w:val="24"/>
        </w:rPr>
        <w:t>定投</w:t>
      </w:r>
      <w:r w:rsidR="003941A6" w:rsidRPr="00122F5C">
        <w:rPr>
          <w:rFonts w:ascii="Times New Roman" w:hAnsi="宋体" w:hint="eastAsia"/>
          <w:color w:val="000000"/>
          <w:kern w:val="0"/>
          <w:sz w:val="24"/>
          <w:szCs w:val="24"/>
        </w:rPr>
        <w:t>费率</w:t>
      </w:r>
      <w:r w:rsidR="00497FBB">
        <w:rPr>
          <w:rFonts w:ascii="Times New Roman" w:hAnsi="宋体"/>
          <w:color w:val="000000"/>
          <w:kern w:val="0"/>
          <w:sz w:val="24"/>
          <w:szCs w:val="24"/>
        </w:rPr>
        <w:t>8</w:t>
      </w:r>
      <w:r w:rsidR="003941A6" w:rsidRPr="00122F5C">
        <w:rPr>
          <w:rFonts w:ascii="Times New Roman" w:hAnsi="宋体" w:hint="eastAsia"/>
          <w:color w:val="000000"/>
          <w:kern w:val="0"/>
          <w:sz w:val="24"/>
          <w:szCs w:val="24"/>
        </w:rPr>
        <w:t>折</w:t>
      </w:r>
      <w:r w:rsidR="003941A6">
        <w:rPr>
          <w:rFonts w:ascii="Times New Roman" w:hAnsi="宋体" w:hint="eastAsia"/>
          <w:color w:val="000000"/>
          <w:kern w:val="0"/>
          <w:sz w:val="24"/>
          <w:szCs w:val="24"/>
        </w:rPr>
        <w:t>优惠</w:t>
      </w:r>
      <w:r w:rsidR="00F06E0D" w:rsidRPr="005D448E">
        <w:rPr>
          <w:rFonts w:ascii="Times New Roman" w:hAnsi="宋体" w:hint="eastAsia"/>
          <w:color w:val="000000"/>
          <w:kern w:val="0"/>
          <w:sz w:val="24"/>
          <w:szCs w:val="24"/>
        </w:rPr>
        <w:t>。</w:t>
      </w:r>
    </w:p>
    <w:p w14:paraId="7E9A8A18" w14:textId="5BB36F8B" w:rsidR="00F06E0D" w:rsidRPr="005D448E" w:rsidRDefault="00F06E0D" w:rsidP="005D448E">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3</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Pr="005D448E">
        <w:rPr>
          <w:rFonts w:ascii="Times New Roman" w:hAnsi="宋体" w:hint="eastAsia"/>
          <w:color w:val="000000"/>
          <w:kern w:val="0"/>
          <w:sz w:val="24"/>
          <w:szCs w:val="24"/>
        </w:rPr>
        <w:t>通过网上银行、柜面渠道申购</w:t>
      </w:r>
      <w:r w:rsidR="004F0617">
        <w:rPr>
          <w:rFonts w:ascii="Times New Roman" w:hAnsi="宋体" w:hint="eastAsia"/>
          <w:color w:val="000000"/>
          <w:kern w:val="0"/>
          <w:sz w:val="24"/>
          <w:szCs w:val="24"/>
        </w:rPr>
        <w:t>上述</w:t>
      </w:r>
      <w:r w:rsidRPr="005D448E">
        <w:rPr>
          <w:rFonts w:ascii="Times New Roman" w:hAnsi="宋体" w:hint="eastAsia"/>
          <w:color w:val="000000"/>
          <w:kern w:val="0"/>
          <w:sz w:val="24"/>
          <w:szCs w:val="24"/>
        </w:rPr>
        <w:t>基金，且交易类型为前端收费公募基金的申购交易的，</w:t>
      </w:r>
      <w:r w:rsidR="004F0617">
        <w:rPr>
          <w:rFonts w:ascii="Times New Roman" w:hAnsi="宋体" w:hint="eastAsia"/>
          <w:color w:val="000000"/>
          <w:kern w:val="0"/>
          <w:sz w:val="24"/>
          <w:szCs w:val="24"/>
        </w:rPr>
        <w:t>不参与本次</w:t>
      </w:r>
      <w:r w:rsidR="004F0617">
        <w:rPr>
          <w:rFonts w:ascii="Times New Roman" w:hAnsi="宋体"/>
          <w:color w:val="000000"/>
          <w:kern w:val="0"/>
          <w:sz w:val="24"/>
          <w:szCs w:val="24"/>
        </w:rPr>
        <w:t>费率优惠</w:t>
      </w:r>
      <w:r w:rsidRPr="005D448E">
        <w:rPr>
          <w:rFonts w:ascii="Times New Roman" w:hAnsi="宋体" w:hint="eastAsia"/>
          <w:color w:val="000000"/>
          <w:kern w:val="0"/>
          <w:sz w:val="24"/>
          <w:szCs w:val="24"/>
        </w:rPr>
        <w:t>。</w:t>
      </w:r>
    </w:p>
    <w:bookmarkEnd w:id="2"/>
    <w:bookmarkEnd w:id="3"/>
    <w:p w14:paraId="5D424D3B"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五</w:t>
      </w:r>
      <w:r>
        <w:rPr>
          <w:rFonts w:ascii="Times New Roman" w:hAnsi="宋体"/>
          <w:color w:val="000000"/>
          <w:kern w:val="0"/>
          <w:sz w:val="24"/>
          <w:szCs w:val="24"/>
        </w:rPr>
        <w:t>、重要提示</w:t>
      </w:r>
    </w:p>
    <w:p w14:paraId="5399BB3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color w:val="000000"/>
          <w:kern w:val="0"/>
          <w:sz w:val="24"/>
          <w:szCs w:val="24"/>
        </w:rPr>
        <w:t>、本优惠活动仅适用于</w:t>
      </w:r>
      <w:r>
        <w:rPr>
          <w:rFonts w:ascii="Times New Roman" w:hAnsi="宋体" w:hint="eastAsia"/>
          <w:color w:val="000000"/>
          <w:kern w:val="0"/>
          <w:sz w:val="24"/>
          <w:szCs w:val="24"/>
        </w:rPr>
        <w:t>本公司旗下通交通银行销售的，</w:t>
      </w:r>
      <w:r>
        <w:rPr>
          <w:rFonts w:ascii="Times New Roman" w:hAnsi="宋体"/>
          <w:color w:val="000000"/>
          <w:kern w:val="0"/>
          <w:sz w:val="24"/>
          <w:szCs w:val="24"/>
        </w:rPr>
        <w:t>处于正常申购期的基金产品的前端收费模式的申购手续费。</w:t>
      </w:r>
    </w:p>
    <w:p w14:paraId="4BAFB3E0"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本优惠活动仅适用于</w:t>
      </w:r>
      <w:r>
        <w:rPr>
          <w:rFonts w:ascii="Times New Roman" w:hAnsi="宋体" w:hint="eastAsia"/>
          <w:color w:val="000000"/>
          <w:kern w:val="0"/>
          <w:sz w:val="24"/>
          <w:szCs w:val="24"/>
        </w:rPr>
        <w:t>交通银行指定方式申购（包含定期定额申购）</w:t>
      </w:r>
      <w:r>
        <w:rPr>
          <w:rFonts w:ascii="Times New Roman" w:hAnsi="宋体"/>
          <w:color w:val="000000"/>
          <w:kern w:val="0"/>
          <w:sz w:val="24"/>
          <w:szCs w:val="24"/>
        </w:rPr>
        <w:t>。</w:t>
      </w:r>
    </w:p>
    <w:p w14:paraId="2E946720"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3</w:t>
      </w:r>
      <w:r>
        <w:rPr>
          <w:rFonts w:ascii="Times New Roman" w:hAnsi="宋体" w:hint="eastAsia"/>
          <w:color w:val="000000"/>
          <w:kern w:val="0"/>
          <w:sz w:val="24"/>
          <w:szCs w:val="24"/>
        </w:rPr>
        <w:t>、部分基金根据销售费用收取方式的不同，将基金份额分为不同的类别的，</w:t>
      </w:r>
      <w:r>
        <w:rPr>
          <w:rFonts w:ascii="Times New Roman" w:hAnsi="宋体"/>
          <w:color w:val="000000"/>
          <w:kern w:val="0"/>
          <w:sz w:val="24"/>
          <w:szCs w:val="24"/>
        </w:rPr>
        <w:t>C</w:t>
      </w:r>
      <w:r>
        <w:rPr>
          <w:rFonts w:ascii="Times New Roman" w:hAnsi="宋体" w:hint="eastAsia"/>
          <w:color w:val="000000"/>
          <w:kern w:val="0"/>
          <w:sz w:val="24"/>
          <w:szCs w:val="24"/>
        </w:rPr>
        <w:t>类基金份额在投资人申购时不收取申购费用，而是根据基金合同约定的销售服</w:t>
      </w:r>
      <w:r>
        <w:rPr>
          <w:rFonts w:ascii="Times New Roman" w:hAnsi="宋体" w:hint="eastAsia"/>
          <w:color w:val="000000"/>
          <w:kern w:val="0"/>
          <w:sz w:val="24"/>
          <w:szCs w:val="24"/>
        </w:rPr>
        <w:lastRenderedPageBreak/>
        <w:t>务费率计提并支付。具体基金费率请详见基金合同、招募说明书（更新）等法律文件，以及本公司发布的最新业务公告。</w:t>
      </w:r>
    </w:p>
    <w:p w14:paraId="0E450CC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4</w:t>
      </w:r>
      <w:r>
        <w:rPr>
          <w:rFonts w:ascii="Times New Roman" w:hAnsi="宋体" w:hint="eastAsia"/>
          <w:color w:val="000000"/>
          <w:kern w:val="0"/>
          <w:sz w:val="24"/>
          <w:szCs w:val="24"/>
        </w:rPr>
        <w:t>、</w:t>
      </w:r>
      <w:r>
        <w:rPr>
          <w:rFonts w:ascii="Times New Roman" w:hAnsi="宋体"/>
          <w:color w:val="000000"/>
          <w:kern w:val="0"/>
          <w:sz w:val="24"/>
          <w:szCs w:val="24"/>
        </w:rPr>
        <w:t>费率优惠活动解释权</w:t>
      </w:r>
      <w:r>
        <w:rPr>
          <w:rFonts w:ascii="Times New Roman" w:hAnsi="宋体" w:hint="eastAsia"/>
          <w:color w:val="000000"/>
          <w:kern w:val="0"/>
          <w:sz w:val="24"/>
          <w:szCs w:val="24"/>
        </w:rPr>
        <w:t>归交通银行</w:t>
      </w:r>
      <w:r>
        <w:rPr>
          <w:rFonts w:ascii="Times New Roman" w:hAnsi="宋体"/>
          <w:color w:val="000000"/>
          <w:kern w:val="0"/>
          <w:sz w:val="24"/>
          <w:szCs w:val="24"/>
        </w:rPr>
        <w:t>所有，有关优惠活动的具体规定如有变化，敬请投资者留意</w:t>
      </w:r>
      <w:r>
        <w:rPr>
          <w:rFonts w:ascii="Times New Roman" w:hAnsi="宋体" w:hint="eastAsia"/>
          <w:color w:val="000000"/>
          <w:kern w:val="0"/>
          <w:sz w:val="24"/>
          <w:szCs w:val="24"/>
        </w:rPr>
        <w:t>代销机构</w:t>
      </w:r>
      <w:r>
        <w:rPr>
          <w:rFonts w:ascii="Times New Roman" w:hAnsi="宋体"/>
          <w:color w:val="000000"/>
          <w:kern w:val="0"/>
          <w:sz w:val="24"/>
          <w:szCs w:val="24"/>
        </w:rPr>
        <w:t>的有关公告。</w:t>
      </w:r>
    </w:p>
    <w:p w14:paraId="0A089D3E"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5</w:t>
      </w:r>
      <w:r>
        <w:rPr>
          <w:rFonts w:ascii="Times New Roman" w:hAnsi="宋体" w:hint="eastAsia"/>
          <w:color w:val="000000"/>
          <w:kern w:val="0"/>
          <w:sz w:val="24"/>
          <w:szCs w:val="24"/>
        </w:rPr>
        <w:t>、</w:t>
      </w:r>
      <w:r>
        <w:rPr>
          <w:rFonts w:ascii="Times New Roman" w:hAnsi="宋体"/>
          <w:color w:val="000000"/>
          <w:kern w:val="0"/>
          <w:sz w:val="24"/>
          <w:szCs w:val="24"/>
        </w:rPr>
        <w:t>费率优惠活动期间，业务办理的流程以</w:t>
      </w:r>
      <w:r>
        <w:rPr>
          <w:rFonts w:ascii="Times New Roman" w:hAnsi="宋体" w:hint="eastAsia"/>
          <w:color w:val="000000"/>
          <w:kern w:val="0"/>
          <w:sz w:val="24"/>
          <w:szCs w:val="24"/>
        </w:rPr>
        <w:t>交通银行</w:t>
      </w:r>
      <w:r>
        <w:rPr>
          <w:rFonts w:ascii="Times New Roman" w:hAnsi="宋体"/>
          <w:color w:val="000000"/>
          <w:kern w:val="0"/>
          <w:sz w:val="24"/>
          <w:szCs w:val="24"/>
        </w:rPr>
        <w:t>的规定为准。投资者欲了解基金产品的详细情况，请仔细阅读基金的基金合同、招募说明书等法律文件。</w:t>
      </w:r>
      <w:r>
        <w:rPr>
          <w:rFonts w:ascii="Times New Roman" w:hAnsi="宋体"/>
          <w:color w:val="000000"/>
          <w:kern w:val="0"/>
          <w:sz w:val="24"/>
          <w:szCs w:val="24"/>
        </w:rPr>
        <w:t xml:space="preserve"> </w:t>
      </w:r>
    </w:p>
    <w:p w14:paraId="078510AB" w14:textId="77777777" w:rsidR="00A35690" w:rsidRDefault="00A84BB6">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六</w:t>
      </w:r>
      <w:r>
        <w:rPr>
          <w:rFonts w:ascii="Times New Roman" w:hAnsi="宋体"/>
          <w:color w:val="000000"/>
          <w:kern w:val="0"/>
          <w:sz w:val="24"/>
          <w:szCs w:val="24"/>
        </w:rPr>
        <w:t>、投资者可通过</w:t>
      </w:r>
      <w:r>
        <w:rPr>
          <w:rFonts w:ascii="Times New Roman" w:hAnsi="宋体" w:hint="eastAsia"/>
          <w:color w:val="000000"/>
          <w:kern w:val="0"/>
          <w:sz w:val="24"/>
          <w:szCs w:val="24"/>
        </w:rPr>
        <w:t>交通银行</w:t>
      </w:r>
      <w:r>
        <w:rPr>
          <w:rFonts w:ascii="Times New Roman" w:hAnsi="宋体"/>
          <w:color w:val="000000"/>
          <w:kern w:val="0"/>
          <w:sz w:val="24"/>
          <w:szCs w:val="24"/>
        </w:rPr>
        <w:t>和本公司的客服热线或网站咨询有关详情</w:t>
      </w:r>
      <w:r>
        <w:rPr>
          <w:rFonts w:ascii="Times New Roman" w:hAnsi="宋体" w:hint="eastAsia"/>
          <w:color w:val="000000"/>
          <w:kern w:val="0"/>
          <w:sz w:val="24"/>
          <w:szCs w:val="24"/>
        </w:rPr>
        <w:t>：</w:t>
      </w:r>
    </w:p>
    <w:p w14:paraId="16DD2BFE"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hint="eastAsia"/>
          <w:color w:val="000000"/>
          <w:kern w:val="0"/>
          <w:sz w:val="24"/>
          <w:szCs w:val="24"/>
        </w:rPr>
        <w:t>、交通银行股份有限公司</w:t>
      </w:r>
    </w:p>
    <w:p w14:paraId="3DED67C5"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95559</w:t>
      </w:r>
    </w:p>
    <w:p w14:paraId="57B2C8C2"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hint="eastAsia"/>
          <w:color w:val="000000"/>
          <w:kern w:val="0"/>
          <w:sz w:val="24"/>
          <w:szCs w:val="24"/>
        </w:rPr>
        <w:t>网址：</w:t>
      </w:r>
      <w:r>
        <w:rPr>
          <w:rFonts w:ascii="Times New Roman" w:hAnsi="宋体"/>
          <w:color w:val="000000"/>
          <w:kern w:val="0"/>
          <w:sz w:val="24"/>
          <w:szCs w:val="24"/>
        </w:rPr>
        <w:t>www.bankcomm.com</w:t>
      </w:r>
    </w:p>
    <w:p w14:paraId="00CC8C4D"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2</w:t>
      </w:r>
      <w:r>
        <w:rPr>
          <w:rFonts w:ascii="Times New Roman" w:hAnsi="宋体" w:hint="eastAsia"/>
          <w:color w:val="000000"/>
          <w:kern w:val="0"/>
          <w:sz w:val="24"/>
          <w:szCs w:val="24"/>
        </w:rPr>
        <w:t>、财通基金管理有限公司</w:t>
      </w:r>
    </w:p>
    <w:p w14:paraId="422F26F0"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400-820-9888</w:t>
      </w:r>
    </w:p>
    <w:p w14:paraId="25F58B2C"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网址</w:t>
      </w:r>
      <w:r>
        <w:rPr>
          <w:rFonts w:ascii="Times New Roman" w:hAnsi="宋体" w:hint="eastAsia"/>
          <w:color w:val="000000"/>
          <w:kern w:val="0"/>
          <w:sz w:val="24"/>
          <w:szCs w:val="24"/>
        </w:rPr>
        <w:t>：</w:t>
      </w:r>
      <w:r>
        <w:rPr>
          <w:rFonts w:ascii="Times New Roman" w:hAnsi="宋体"/>
          <w:color w:val="000000"/>
          <w:kern w:val="0"/>
          <w:sz w:val="24"/>
          <w:szCs w:val="24"/>
        </w:rPr>
        <w:t>www.ctfund.com</w:t>
      </w:r>
    </w:p>
    <w:p w14:paraId="57E8EEF3"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风险提示</w:t>
      </w:r>
      <w:r>
        <w:rPr>
          <w:rFonts w:ascii="Times New Roman" w:hAnsi="宋体" w:hint="eastAsia"/>
          <w:color w:val="000000"/>
          <w:kern w:val="0"/>
          <w:sz w:val="24"/>
          <w:szCs w:val="24"/>
        </w:rPr>
        <w:t>：</w:t>
      </w:r>
    </w:p>
    <w:p w14:paraId="1E23C38F"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投资人应当充分了解基金定期定额申购和零存整取等储蓄方式的区别。定期定额申购是引导投资人进行长期投资、平均投资成本的一种简单易行的投资方式。但是定期定额申购并不能规避基金投资所固有的风险，不能保证投资人获得收益，也不是替代储蓄的等效理财方式。</w:t>
      </w:r>
    </w:p>
    <w:p w14:paraId="5D12124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14:paraId="1953F2A8"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特此公告。</w:t>
      </w:r>
    </w:p>
    <w:p w14:paraId="4490C7BC" w14:textId="77777777" w:rsidR="00A35690" w:rsidRDefault="00A35690">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14:paraId="014B53B0" w14:textId="77777777" w:rsidR="00A35690" w:rsidRDefault="00A84BB6">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财通基金管理有限公司</w:t>
      </w:r>
    </w:p>
    <w:p w14:paraId="41D638FD" w14:textId="31D0A571" w:rsidR="00A35690" w:rsidRDefault="00A84BB6" w:rsidP="005D448E">
      <w:pPr>
        <w:widowControl/>
        <w:wordWrap w:val="0"/>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二〇</w:t>
      </w:r>
      <w:r>
        <w:rPr>
          <w:rFonts w:ascii="Times New Roman" w:hAnsi="Times New Roman" w:hint="eastAsia"/>
          <w:bCs/>
          <w:kern w:val="0"/>
          <w:sz w:val="24"/>
          <w:szCs w:val="24"/>
        </w:rPr>
        <w:t>二</w:t>
      </w:r>
      <w:r w:rsidR="00AE438E">
        <w:rPr>
          <w:rFonts w:ascii="Times New Roman" w:hAnsi="Times New Roman" w:hint="eastAsia"/>
          <w:bCs/>
          <w:kern w:val="0"/>
          <w:sz w:val="24"/>
          <w:szCs w:val="24"/>
        </w:rPr>
        <w:t>一</w:t>
      </w:r>
      <w:r>
        <w:rPr>
          <w:rFonts w:ascii="Times New Roman" w:hAnsi="Times New Roman"/>
          <w:bCs/>
          <w:kern w:val="0"/>
          <w:sz w:val="24"/>
          <w:szCs w:val="24"/>
        </w:rPr>
        <w:t>年</w:t>
      </w:r>
      <w:r w:rsidR="00704601">
        <w:rPr>
          <w:rFonts w:ascii="Times New Roman" w:hAnsi="Times New Roman" w:hint="eastAsia"/>
          <w:bCs/>
          <w:kern w:val="0"/>
          <w:sz w:val="24"/>
          <w:szCs w:val="24"/>
        </w:rPr>
        <w:t>十二</w:t>
      </w:r>
      <w:r>
        <w:rPr>
          <w:rFonts w:ascii="Times New Roman" w:hAnsi="Times New Roman"/>
          <w:bCs/>
          <w:kern w:val="0"/>
          <w:sz w:val="24"/>
          <w:szCs w:val="24"/>
        </w:rPr>
        <w:t>月</w:t>
      </w:r>
      <w:r w:rsidR="004A1C3E">
        <w:rPr>
          <w:rFonts w:ascii="Times New Roman" w:hAnsi="Times New Roman" w:hint="eastAsia"/>
          <w:bCs/>
          <w:kern w:val="0"/>
          <w:sz w:val="24"/>
          <w:szCs w:val="24"/>
        </w:rPr>
        <w:t>二十二</w:t>
      </w:r>
      <w:r>
        <w:rPr>
          <w:rFonts w:ascii="Times New Roman" w:hAnsi="Times New Roman"/>
          <w:bCs/>
          <w:kern w:val="0"/>
          <w:sz w:val="24"/>
          <w:szCs w:val="24"/>
        </w:rPr>
        <w:t>日</w:t>
      </w:r>
    </w:p>
    <w:p w14:paraId="525528A3" w14:textId="77777777" w:rsidR="00A35690" w:rsidRDefault="00A35690"/>
    <w:sectPr w:rsidR="00A35690" w:rsidSect="00A3569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A203A" w14:textId="77777777" w:rsidR="00262E38" w:rsidRDefault="00262E38" w:rsidP="00A35690">
      <w:r>
        <w:separator/>
      </w:r>
    </w:p>
  </w:endnote>
  <w:endnote w:type="continuationSeparator" w:id="0">
    <w:p w14:paraId="4E41058F" w14:textId="77777777" w:rsidR="00262E38" w:rsidRDefault="00262E38" w:rsidP="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4D97" w14:textId="77777777" w:rsidR="00A35690" w:rsidRDefault="00A35690">
    <w:pPr>
      <w:pStyle w:val="a5"/>
      <w:ind w:left="480"/>
      <w:jc w:val="center"/>
    </w:pPr>
    <w:r>
      <w:fldChar w:fldCharType="begin"/>
    </w:r>
    <w:r w:rsidR="00A84BB6">
      <w:instrText xml:space="preserve"> PAGE   \* MERGEFORMAT </w:instrText>
    </w:r>
    <w:r>
      <w:fldChar w:fldCharType="separate"/>
    </w:r>
    <w:r w:rsidR="000D3DC1" w:rsidRPr="000D3DC1">
      <w:rPr>
        <w:noProof/>
        <w:lang w:val="zh-CN"/>
      </w:rPr>
      <w:t>1</w:t>
    </w:r>
    <w:r>
      <w:fldChar w:fldCharType="end"/>
    </w:r>
  </w:p>
  <w:p w14:paraId="047D7E57" w14:textId="77777777" w:rsidR="00A35690" w:rsidRDefault="00A35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B84A" w14:textId="77777777" w:rsidR="00262E38" w:rsidRDefault="00262E38" w:rsidP="00A35690">
      <w:r>
        <w:separator/>
      </w:r>
    </w:p>
  </w:footnote>
  <w:footnote w:type="continuationSeparator" w:id="0">
    <w:p w14:paraId="475163AD" w14:textId="77777777" w:rsidR="00262E38" w:rsidRDefault="00262E38" w:rsidP="00A3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E8AB" w14:textId="77777777" w:rsidR="00A35690" w:rsidRDefault="00A84BB6">
    <w:pPr>
      <w:pStyle w:val="a6"/>
      <w:pBdr>
        <w:bottom w:val="single" w:sz="6" w:space="2" w:color="auto"/>
      </w:pBdr>
      <w:tabs>
        <w:tab w:val="clear" w:pos="4153"/>
      </w:tabs>
      <w:ind w:left="480"/>
      <w:jc w:val="left"/>
    </w:pPr>
    <w:r>
      <w:rPr>
        <w:noProof/>
      </w:rPr>
      <w:drawing>
        <wp:inline distT="0" distB="0" distL="0" distR="0" wp14:anchorId="770E0ADE" wp14:editId="70C3D79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93F"/>
    <w:rsid w:val="00000020"/>
    <w:rsid w:val="00013503"/>
    <w:rsid w:val="00021281"/>
    <w:rsid w:val="00033EA7"/>
    <w:rsid w:val="0003614C"/>
    <w:rsid w:val="00043E3B"/>
    <w:rsid w:val="00050425"/>
    <w:rsid w:val="0005161B"/>
    <w:rsid w:val="0005203E"/>
    <w:rsid w:val="000533B3"/>
    <w:rsid w:val="00054D7D"/>
    <w:rsid w:val="0006667F"/>
    <w:rsid w:val="000D3DC1"/>
    <w:rsid w:val="000F3F02"/>
    <w:rsid w:val="00101A05"/>
    <w:rsid w:val="0011175F"/>
    <w:rsid w:val="00122F5C"/>
    <w:rsid w:val="00132567"/>
    <w:rsid w:val="00137FC9"/>
    <w:rsid w:val="001414FA"/>
    <w:rsid w:val="00153EDB"/>
    <w:rsid w:val="001D420D"/>
    <w:rsid w:val="001D4990"/>
    <w:rsid w:val="001F093A"/>
    <w:rsid w:val="00206C09"/>
    <w:rsid w:val="002367A4"/>
    <w:rsid w:val="00252C6B"/>
    <w:rsid w:val="00262E38"/>
    <w:rsid w:val="00271AEE"/>
    <w:rsid w:val="00271BE5"/>
    <w:rsid w:val="00294FF7"/>
    <w:rsid w:val="002A1426"/>
    <w:rsid w:val="002C097F"/>
    <w:rsid w:val="003027BE"/>
    <w:rsid w:val="00307905"/>
    <w:rsid w:val="003139E8"/>
    <w:rsid w:val="003236C1"/>
    <w:rsid w:val="003538F1"/>
    <w:rsid w:val="00383459"/>
    <w:rsid w:val="003941A6"/>
    <w:rsid w:val="003C6201"/>
    <w:rsid w:val="003D0FA7"/>
    <w:rsid w:val="0040636F"/>
    <w:rsid w:val="00410811"/>
    <w:rsid w:val="004113B7"/>
    <w:rsid w:val="00446D1F"/>
    <w:rsid w:val="0045099A"/>
    <w:rsid w:val="00475C22"/>
    <w:rsid w:val="00497FBB"/>
    <w:rsid w:val="004A1C3E"/>
    <w:rsid w:val="004A2DA9"/>
    <w:rsid w:val="004B4400"/>
    <w:rsid w:val="004E6F46"/>
    <w:rsid w:val="004F0617"/>
    <w:rsid w:val="00502827"/>
    <w:rsid w:val="00516B55"/>
    <w:rsid w:val="005B5D3A"/>
    <w:rsid w:val="005C57DB"/>
    <w:rsid w:val="005C621B"/>
    <w:rsid w:val="005D00ED"/>
    <w:rsid w:val="005D448E"/>
    <w:rsid w:val="005E183D"/>
    <w:rsid w:val="00610BE0"/>
    <w:rsid w:val="00611EBD"/>
    <w:rsid w:val="00640FBD"/>
    <w:rsid w:val="00651AEB"/>
    <w:rsid w:val="00657F4E"/>
    <w:rsid w:val="00670C1B"/>
    <w:rsid w:val="006728D8"/>
    <w:rsid w:val="006B6EEB"/>
    <w:rsid w:val="006B7187"/>
    <w:rsid w:val="006E70A5"/>
    <w:rsid w:val="006F7D31"/>
    <w:rsid w:val="00704601"/>
    <w:rsid w:val="007048C4"/>
    <w:rsid w:val="00710A72"/>
    <w:rsid w:val="00715DA1"/>
    <w:rsid w:val="00721DBF"/>
    <w:rsid w:val="007311AD"/>
    <w:rsid w:val="0073524C"/>
    <w:rsid w:val="007464A1"/>
    <w:rsid w:val="00747B31"/>
    <w:rsid w:val="00777937"/>
    <w:rsid w:val="00784264"/>
    <w:rsid w:val="00793884"/>
    <w:rsid w:val="007A5B5F"/>
    <w:rsid w:val="007C5F31"/>
    <w:rsid w:val="007E7519"/>
    <w:rsid w:val="007F48EB"/>
    <w:rsid w:val="007F490A"/>
    <w:rsid w:val="00812EFE"/>
    <w:rsid w:val="008212C0"/>
    <w:rsid w:val="008331B0"/>
    <w:rsid w:val="00845045"/>
    <w:rsid w:val="0086022D"/>
    <w:rsid w:val="0086593F"/>
    <w:rsid w:val="0088477C"/>
    <w:rsid w:val="008A0140"/>
    <w:rsid w:val="008E4225"/>
    <w:rsid w:val="00906ADD"/>
    <w:rsid w:val="00913CF6"/>
    <w:rsid w:val="00937CEF"/>
    <w:rsid w:val="00952E2E"/>
    <w:rsid w:val="00965837"/>
    <w:rsid w:val="00980662"/>
    <w:rsid w:val="009C01EC"/>
    <w:rsid w:val="009C5434"/>
    <w:rsid w:val="00A1276A"/>
    <w:rsid w:val="00A1318D"/>
    <w:rsid w:val="00A2478D"/>
    <w:rsid w:val="00A35690"/>
    <w:rsid w:val="00A4607B"/>
    <w:rsid w:val="00A50E6F"/>
    <w:rsid w:val="00A562BC"/>
    <w:rsid w:val="00A64A27"/>
    <w:rsid w:val="00A6582D"/>
    <w:rsid w:val="00A72A03"/>
    <w:rsid w:val="00A72F4D"/>
    <w:rsid w:val="00A76F67"/>
    <w:rsid w:val="00A84BB6"/>
    <w:rsid w:val="00A93847"/>
    <w:rsid w:val="00AA42D0"/>
    <w:rsid w:val="00AA576E"/>
    <w:rsid w:val="00AE438E"/>
    <w:rsid w:val="00AF5875"/>
    <w:rsid w:val="00AF59C7"/>
    <w:rsid w:val="00AF7EA6"/>
    <w:rsid w:val="00B10683"/>
    <w:rsid w:val="00B172A8"/>
    <w:rsid w:val="00B23500"/>
    <w:rsid w:val="00B7320E"/>
    <w:rsid w:val="00B90E1F"/>
    <w:rsid w:val="00B91C90"/>
    <w:rsid w:val="00BC3749"/>
    <w:rsid w:val="00BD2D04"/>
    <w:rsid w:val="00C04E88"/>
    <w:rsid w:val="00C46084"/>
    <w:rsid w:val="00C47325"/>
    <w:rsid w:val="00C47846"/>
    <w:rsid w:val="00C71E92"/>
    <w:rsid w:val="00C97CAF"/>
    <w:rsid w:val="00CC6ECA"/>
    <w:rsid w:val="00CE44F8"/>
    <w:rsid w:val="00CE53B7"/>
    <w:rsid w:val="00D2240C"/>
    <w:rsid w:val="00D46A9B"/>
    <w:rsid w:val="00D6334A"/>
    <w:rsid w:val="00D66BB0"/>
    <w:rsid w:val="00D80907"/>
    <w:rsid w:val="00DD601E"/>
    <w:rsid w:val="00DF6248"/>
    <w:rsid w:val="00E179FC"/>
    <w:rsid w:val="00E24FBA"/>
    <w:rsid w:val="00E27E9F"/>
    <w:rsid w:val="00E315D7"/>
    <w:rsid w:val="00E55040"/>
    <w:rsid w:val="00E70CC4"/>
    <w:rsid w:val="00E9375A"/>
    <w:rsid w:val="00F03DCA"/>
    <w:rsid w:val="00F06E0D"/>
    <w:rsid w:val="00F15C11"/>
    <w:rsid w:val="00F564B2"/>
    <w:rsid w:val="00F65DC3"/>
    <w:rsid w:val="00F90BE6"/>
    <w:rsid w:val="00F93A5D"/>
    <w:rsid w:val="00FC2A3D"/>
    <w:rsid w:val="00FC51D2"/>
    <w:rsid w:val="00FF148E"/>
    <w:rsid w:val="40DE58BD"/>
    <w:rsid w:val="648668D0"/>
    <w:rsid w:val="79D3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3E4A"/>
  <w15:docId w15:val="{F1F9D933-05BD-4238-A7E6-8E8F276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6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5690"/>
    <w:pPr>
      <w:jc w:val="left"/>
    </w:pPr>
  </w:style>
  <w:style w:type="paragraph" w:styleId="a4">
    <w:name w:val="Balloon Text"/>
    <w:basedOn w:val="a"/>
    <w:link w:val="Char0"/>
    <w:uiPriority w:val="99"/>
    <w:semiHidden/>
    <w:unhideWhenUsed/>
    <w:qFormat/>
    <w:rsid w:val="00A35690"/>
    <w:rPr>
      <w:sz w:val="18"/>
      <w:szCs w:val="18"/>
    </w:rPr>
  </w:style>
  <w:style w:type="paragraph" w:styleId="a5">
    <w:name w:val="footer"/>
    <w:basedOn w:val="a"/>
    <w:link w:val="Char1"/>
    <w:uiPriority w:val="99"/>
    <w:unhideWhenUsed/>
    <w:qFormat/>
    <w:rsid w:val="00A3569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35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A35690"/>
    <w:rPr>
      <w:b/>
      <w:bCs/>
    </w:rPr>
  </w:style>
  <w:style w:type="character" w:styleId="a8">
    <w:name w:val="annotation reference"/>
    <w:basedOn w:val="a0"/>
    <w:uiPriority w:val="99"/>
    <w:semiHidden/>
    <w:unhideWhenUsed/>
    <w:qFormat/>
    <w:rsid w:val="00A35690"/>
    <w:rPr>
      <w:sz w:val="21"/>
      <w:szCs w:val="21"/>
    </w:rPr>
  </w:style>
  <w:style w:type="character" w:customStyle="1" w:styleId="Char2">
    <w:name w:val="页眉 Char"/>
    <w:basedOn w:val="a0"/>
    <w:link w:val="a6"/>
    <w:uiPriority w:val="99"/>
    <w:qFormat/>
    <w:rsid w:val="00A35690"/>
    <w:rPr>
      <w:sz w:val="18"/>
      <w:szCs w:val="18"/>
    </w:rPr>
  </w:style>
  <w:style w:type="character" w:customStyle="1" w:styleId="Char1">
    <w:name w:val="页脚 Char"/>
    <w:basedOn w:val="a0"/>
    <w:link w:val="a5"/>
    <w:uiPriority w:val="99"/>
    <w:rsid w:val="00A35690"/>
    <w:rPr>
      <w:sz w:val="18"/>
      <w:szCs w:val="18"/>
    </w:rPr>
  </w:style>
  <w:style w:type="character" w:customStyle="1" w:styleId="Char0">
    <w:name w:val="批注框文本 Char"/>
    <w:basedOn w:val="a0"/>
    <w:link w:val="a4"/>
    <w:uiPriority w:val="99"/>
    <w:semiHidden/>
    <w:qFormat/>
    <w:rsid w:val="00A35690"/>
    <w:rPr>
      <w:rFonts w:ascii="Calibri" w:eastAsia="宋体" w:hAnsi="Calibri" w:cs="Times New Roman"/>
      <w:sz w:val="18"/>
      <w:szCs w:val="18"/>
    </w:rPr>
  </w:style>
  <w:style w:type="character" w:customStyle="1" w:styleId="Char">
    <w:name w:val="批注文字 Char"/>
    <w:basedOn w:val="a0"/>
    <w:link w:val="a3"/>
    <w:uiPriority w:val="99"/>
    <w:semiHidden/>
    <w:qFormat/>
    <w:rsid w:val="00A35690"/>
    <w:rPr>
      <w:rFonts w:ascii="Calibri" w:eastAsia="宋体" w:hAnsi="Calibri" w:cs="Times New Roman"/>
    </w:rPr>
  </w:style>
  <w:style w:type="character" w:customStyle="1" w:styleId="Char3">
    <w:name w:val="批注主题 Char"/>
    <w:basedOn w:val="Char"/>
    <w:link w:val="a7"/>
    <w:uiPriority w:val="99"/>
    <w:semiHidden/>
    <w:rsid w:val="00A35690"/>
    <w:rPr>
      <w:rFonts w:ascii="Calibri" w:eastAsia="宋体" w:hAnsi="Calibri" w:cs="Times New Roman"/>
      <w:b/>
      <w:bCs/>
    </w:rPr>
  </w:style>
  <w:style w:type="paragraph" w:customStyle="1" w:styleId="1">
    <w:name w:val="修订1"/>
    <w:hidden/>
    <w:uiPriority w:val="99"/>
    <w:semiHidden/>
    <w:qFormat/>
    <w:rsid w:val="00A3569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8902">
      <w:bodyDiv w:val="1"/>
      <w:marLeft w:val="0"/>
      <w:marRight w:val="0"/>
      <w:marTop w:val="0"/>
      <w:marBottom w:val="0"/>
      <w:divBdr>
        <w:top w:val="none" w:sz="0" w:space="0" w:color="auto"/>
        <w:left w:val="none" w:sz="0" w:space="0" w:color="auto"/>
        <w:bottom w:val="none" w:sz="0" w:space="0" w:color="auto"/>
        <w:right w:val="none" w:sz="0" w:space="0" w:color="auto"/>
      </w:divBdr>
    </w:div>
    <w:div w:id="95907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guotongyuan</dc:creator>
  <cp:lastModifiedBy>姚明洁</cp:lastModifiedBy>
  <cp:revision>199</cp:revision>
  <dcterms:created xsi:type="dcterms:W3CDTF">2020-12-23T06:25:00Z</dcterms:created>
  <dcterms:modified xsi:type="dcterms:W3CDTF">2021-12-21T07:58:00Z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