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86E90" w14:textId="73BA9385" w:rsidR="00863123" w:rsidRPr="00282C24" w:rsidRDefault="008273F5" w:rsidP="00246970">
      <w:pPr>
        <w:spacing w:before="100" w:beforeAutospacing="1" w:after="100" w:afterAutospacing="1" w:line="540" w:lineRule="exact"/>
        <w:ind w:firstLineChars="50" w:firstLine="141"/>
        <w:jc w:val="center"/>
        <w:rPr>
          <w:rFonts w:ascii="Times New Roman" w:eastAsia="宋体" w:hAnsi="Times New Roman" w:cs="Times New Roman"/>
          <w:b/>
          <w:bCs/>
          <w:color w:val="000000" w:themeColor="text1"/>
          <w:kern w:val="0"/>
          <w:sz w:val="28"/>
          <w:szCs w:val="28"/>
        </w:rPr>
      </w:pPr>
      <w:r w:rsidRPr="00282C24">
        <w:rPr>
          <w:rFonts w:ascii="Times New Roman" w:eastAsia="宋体" w:hAnsi="Times New Roman" w:cs="Times New Roman"/>
          <w:b/>
          <w:bCs/>
          <w:color w:val="000000" w:themeColor="text1"/>
          <w:kern w:val="0"/>
          <w:sz w:val="28"/>
          <w:szCs w:val="28"/>
        </w:rPr>
        <w:t>财通基金管理有限公司</w:t>
      </w:r>
      <w:r w:rsidR="00863123" w:rsidRPr="00282C24">
        <w:rPr>
          <w:rFonts w:ascii="Times New Roman" w:eastAsia="宋体" w:hAnsi="Times New Roman" w:cs="Times New Roman"/>
          <w:b/>
          <w:bCs/>
          <w:color w:val="000000" w:themeColor="text1"/>
          <w:kern w:val="0"/>
          <w:sz w:val="28"/>
          <w:szCs w:val="28"/>
        </w:rPr>
        <w:t>关于修订旗下</w:t>
      </w:r>
      <w:r w:rsidR="002F7A80">
        <w:rPr>
          <w:rFonts w:ascii="Times New Roman" w:eastAsia="宋体" w:hAnsi="Times New Roman" w:cs="Times New Roman" w:hint="eastAsia"/>
          <w:b/>
          <w:bCs/>
          <w:color w:val="000000" w:themeColor="text1"/>
          <w:kern w:val="0"/>
          <w:sz w:val="28"/>
          <w:szCs w:val="28"/>
        </w:rPr>
        <w:t>部分</w:t>
      </w:r>
      <w:r w:rsidR="00863123" w:rsidRPr="00282C24">
        <w:rPr>
          <w:rFonts w:ascii="Times New Roman" w:eastAsia="宋体" w:hAnsi="Times New Roman" w:cs="Times New Roman"/>
          <w:b/>
          <w:bCs/>
          <w:color w:val="000000" w:themeColor="text1"/>
          <w:kern w:val="0"/>
          <w:sz w:val="28"/>
          <w:szCs w:val="28"/>
        </w:rPr>
        <w:t>公募基金基金合同的公告</w:t>
      </w:r>
    </w:p>
    <w:p w14:paraId="0D265F22" w14:textId="4B2DC804" w:rsidR="002F7A80" w:rsidRDefault="002F7A80">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F7A80">
        <w:rPr>
          <w:rFonts w:ascii="Times New Roman" w:eastAsia="宋体" w:hAnsi="Times New Roman" w:cs="Times New Roman" w:hint="eastAsia"/>
          <w:bCs/>
          <w:color w:val="000000" w:themeColor="text1"/>
          <w:kern w:val="0"/>
          <w:sz w:val="24"/>
          <w:szCs w:val="24"/>
        </w:rPr>
        <w:t>根据《中华人民共和国证券法》、《公开募集证券投资基金信息披露管理办法》、《存托凭证发行与交易管理办法（试行）》等法律法规及基金合同、招募说明书及其更新等规定，</w:t>
      </w:r>
      <w:r w:rsidR="00DD2C18">
        <w:rPr>
          <w:rFonts w:ascii="Times New Roman" w:eastAsia="宋体" w:hAnsi="Times New Roman" w:cs="Times New Roman" w:hint="eastAsia"/>
          <w:bCs/>
          <w:color w:val="000000" w:themeColor="text1"/>
          <w:kern w:val="0"/>
          <w:sz w:val="24"/>
          <w:szCs w:val="24"/>
        </w:rPr>
        <w:t>经与各基金托管人协商一致，</w:t>
      </w:r>
      <w:r w:rsidRPr="002F7A80">
        <w:rPr>
          <w:rFonts w:ascii="Times New Roman" w:eastAsia="宋体" w:hAnsi="Times New Roman" w:cs="Times New Roman" w:hint="eastAsia"/>
          <w:bCs/>
          <w:color w:val="000000" w:themeColor="text1"/>
          <w:kern w:val="0"/>
          <w:sz w:val="24"/>
          <w:szCs w:val="24"/>
        </w:rPr>
        <w:t>财通基金管理有限公司（以下简称“基金管理人”）对旗下</w:t>
      </w:r>
      <w:r w:rsidR="00430BFD">
        <w:rPr>
          <w:rFonts w:ascii="Times New Roman" w:eastAsia="宋体" w:hAnsi="Times New Roman" w:cs="Times New Roman"/>
          <w:bCs/>
          <w:color w:val="000000" w:themeColor="text1"/>
          <w:kern w:val="0"/>
          <w:sz w:val="24"/>
          <w:szCs w:val="24"/>
        </w:rPr>
        <w:t>3</w:t>
      </w:r>
      <w:r w:rsidRPr="002F7A80">
        <w:rPr>
          <w:rFonts w:ascii="Times New Roman" w:eastAsia="宋体" w:hAnsi="Times New Roman" w:cs="Times New Roman" w:hint="eastAsia"/>
          <w:bCs/>
          <w:color w:val="000000" w:themeColor="text1"/>
          <w:kern w:val="0"/>
          <w:sz w:val="24"/>
          <w:szCs w:val="24"/>
        </w:rPr>
        <w:t>只</w:t>
      </w:r>
      <w:r w:rsidR="00480DBE">
        <w:rPr>
          <w:rFonts w:ascii="Times New Roman" w:eastAsia="宋体" w:hAnsi="Times New Roman" w:cs="Times New Roman" w:hint="eastAsia"/>
          <w:bCs/>
          <w:color w:val="000000" w:themeColor="text1"/>
          <w:kern w:val="0"/>
          <w:sz w:val="24"/>
          <w:szCs w:val="24"/>
        </w:rPr>
        <w:t>拟</w:t>
      </w:r>
      <w:r w:rsidRPr="002F7A80">
        <w:rPr>
          <w:rFonts w:ascii="Times New Roman" w:eastAsia="宋体" w:hAnsi="Times New Roman" w:cs="Times New Roman" w:hint="eastAsia"/>
          <w:bCs/>
          <w:color w:val="000000" w:themeColor="text1"/>
          <w:kern w:val="0"/>
          <w:sz w:val="24"/>
          <w:szCs w:val="24"/>
        </w:rPr>
        <w:t>参与存托凭证投资的公募基金修订基金合同等法律文件，包括</w:t>
      </w:r>
      <w:r w:rsidR="004760B6">
        <w:rPr>
          <w:rFonts w:ascii="Times New Roman" w:eastAsia="宋体" w:hAnsi="Times New Roman" w:cs="Times New Roman" w:hint="eastAsia"/>
          <w:bCs/>
          <w:color w:val="000000" w:themeColor="text1"/>
          <w:kern w:val="0"/>
          <w:sz w:val="24"/>
          <w:szCs w:val="24"/>
        </w:rPr>
        <w:t>增加</w:t>
      </w:r>
      <w:r w:rsidR="00B60CEF">
        <w:rPr>
          <w:rFonts w:ascii="Times New Roman" w:eastAsia="宋体" w:hAnsi="Times New Roman" w:cs="Times New Roman" w:hint="eastAsia"/>
          <w:bCs/>
          <w:color w:val="000000" w:themeColor="text1"/>
          <w:kern w:val="0"/>
          <w:sz w:val="24"/>
          <w:szCs w:val="24"/>
        </w:rPr>
        <w:t>投资存托凭证的风险揭示、</w:t>
      </w:r>
      <w:r w:rsidRPr="002F7A80">
        <w:rPr>
          <w:rFonts w:ascii="Times New Roman" w:eastAsia="宋体" w:hAnsi="Times New Roman" w:cs="Times New Roman" w:hint="eastAsia"/>
          <w:bCs/>
          <w:color w:val="000000" w:themeColor="text1"/>
          <w:kern w:val="0"/>
          <w:sz w:val="24"/>
          <w:szCs w:val="24"/>
        </w:rPr>
        <w:t>明确投资范围包含存托凭证、增加存托凭证的投资策略、投资比例限制、估值方法等，并在基金招募说明书</w:t>
      </w:r>
      <w:r w:rsidR="00B417D9">
        <w:rPr>
          <w:rFonts w:ascii="Times New Roman" w:eastAsia="宋体" w:hAnsi="Times New Roman" w:cs="Times New Roman" w:hint="eastAsia"/>
          <w:bCs/>
          <w:color w:val="000000" w:themeColor="text1"/>
          <w:kern w:val="0"/>
          <w:sz w:val="24"/>
          <w:szCs w:val="24"/>
        </w:rPr>
        <w:t>（更新）</w:t>
      </w:r>
      <w:r w:rsidRPr="002F7A80">
        <w:rPr>
          <w:rFonts w:ascii="Times New Roman" w:eastAsia="宋体" w:hAnsi="Times New Roman" w:cs="Times New Roman" w:hint="eastAsia"/>
          <w:bCs/>
          <w:color w:val="000000" w:themeColor="text1"/>
          <w:kern w:val="0"/>
          <w:sz w:val="24"/>
          <w:szCs w:val="24"/>
        </w:rPr>
        <w:t>、</w:t>
      </w:r>
      <w:r w:rsidR="00B60CEF">
        <w:rPr>
          <w:rFonts w:ascii="Times New Roman" w:eastAsia="宋体" w:hAnsi="Times New Roman" w:cs="Times New Roman" w:hint="eastAsia"/>
          <w:bCs/>
          <w:color w:val="000000" w:themeColor="text1"/>
          <w:kern w:val="0"/>
          <w:sz w:val="24"/>
          <w:szCs w:val="24"/>
        </w:rPr>
        <w:t>基金</w:t>
      </w:r>
      <w:r w:rsidRPr="002F7A80">
        <w:rPr>
          <w:rFonts w:ascii="Times New Roman" w:eastAsia="宋体" w:hAnsi="Times New Roman" w:cs="Times New Roman" w:hint="eastAsia"/>
          <w:bCs/>
          <w:color w:val="000000" w:themeColor="text1"/>
          <w:kern w:val="0"/>
          <w:sz w:val="24"/>
          <w:szCs w:val="24"/>
        </w:rPr>
        <w:t>产品资料概要中增加投资存托凭证的风险揭示。</w:t>
      </w:r>
      <w:r w:rsidR="000047A5">
        <w:rPr>
          <w:rFonts w:ascii="Times New Roman" w:eastAsia="宋体" w:hAnsi="Times New Roman" w:cs="Times New Roman" w:hint="eastAsia"/>
          <w:bCs/>
          <w:color w:val="000000" w:themeColor="text1"/>
          <w:kern w:val="0"/>
          <w:sz w:val="24"/>
          <w:szCs w:val="24"/>
        </w:rPr>
        <w:t>根据法律法规的规定及基金合同的约定，</w:t>
      </w:r>
      <w:r w:rsidRPr="002F7A80">
        <w:rPr>
          <w:rFonts w:ascii="Times New Roman" w:eastAsia="宋体" w:hAnsi="Times New Roman" w:cs="Times New Roman" w:hint="eastAsia"/>
          <w:bCs/>
          <w:color w:val="000000" w:themeColor="text1"/>
          <w:kern w:val="0"/>
          <w:sz w:val="24"/>
          <w:szCs w:val="24"/>
        </w:rPr>
        <w:t>本次修订对现有基金份额持有人利益无实质不利影响，</w:t>
      </w:r>
      <w:r w:rsidR="000047A5">
        <w:rPr>
          <w:rFonts w:ascii="Times New Roman" w:eastAsia="宋体" w:hAnsi="Times New Roman" w:cs="Times New Roman" w:hint="eastAsia"/>
          <w:bCs/>
          <w:color w:val="000000" w:themeColor="text1"/>
          <w:kern w:val="0"/>
          <w:sz w:val="24"/>
          <w:szCs w:val="24"/>
        </w:rPr>
        <w:t>可由基金管理人与各基金托管人协商一致作出，不需召开基金份额持有人大会。</w:t>
      </w:r>
      <w:r w:rsidRPr="002F7A80">
        <w:rPr>
          <w:rFonts w:ascii="Times New Roman" w:eastAsia="宋体" w:hAnsi="Times New Roman" w:cs="Times New Roman" w:hint="eastAsia"/>
          <w:bCs/>
          <w:color w:val="000000" w:themeColor="text1"/>
          <w:kern w:val="0"/>
          <w:sz w:val="24"/>
          <w:szCs w:val="24"/>
        </w:rPr>
        <w:t>修订将自</w:t>
      </w:r>
      <w:r w:rsidR="00430BFD" w:rsidRPr="002F7A80">
        <w:rPr>
          <w:rFonts w:ascii="Times New Roman" w:eastAsia="宋体" w:hAnsi="Times New Roman" w:cs="Times New Roman" w:hint="eastAsia"/>
          <w:bCs/>
          <w:color w:val="000000" w:themeColor="text1"/>
          <w:kern w:val="0"/>
          <w:sz w:val="24"/>
          <w:szCs w:val="24"/>
        </w:rPr>
        <w:t>202</w:t>
      </w:r>
      <w:r w:rsidR="00430BFD">
        <w:rPr>
          <w:rFonts w:ascii="Times New Roman" w:eastAsia="宋体" w:hAnsi="Times New Roman" w:cs="Times New Roman"/>
          <w:bCs/>
          <w:color w:val="000000" w:themeColor="text1"/>
          <w:kern w:val="0"/>
          <w:sz w:val="24"/>
          <w:szCs w:val="24"/>
        </w:rPr>
        <w:t>1</w:t>
      </w:r>
      <w:r w:rsidRPr="002F7A80">
        <w:rPr>
          <w:rFonts w:ascii="Times New Roman" w:eastAsia="宋体" w:hAnsi="Times New Roman" w:cs="Times New Roman" w:hint="eastAsia"/>
          <w:bCs/>
          <w:color w:val="000000" w:themeColor="text1"/>
          <w:kern w:val="0"/>
          <w:sz w:val="24"/>
          <w:szCs w:val="24"/>
        </w:rPr>
        <w:t>年</w:t>
      </w:r>
      <w:r w:rsidR="00246970">
        <w:rPr>
          <w:rFonts w:ascii="Times New Roman" w:eastAsia="宋体" w:hAnsi="Times New Roman" w:cs="Times New Roman"/>
          <w:bCs/>
          <w:color w:val="000000" w:themeColor="text1"/>
          <w:kern w:val="0"/>
          <w:sz w:val="24"/>
          <w:szCs w:val="24"/>
        </w:rPr>
        <w:t>9</w:t>
      </w:r>
      <w:r w:rsidRPr="002F7A80">
        <w:rPr>
          <w:rFonts w:ascii="Times New Roman" w:eastAsia="宋体" w:hAnsi="Times New Roman" w:cs="Times New Roman" w:hint="eastAsia"/>
          <w:bCs/>
          <w:color w:val="000000" w:themeColor="text1"/>
          <w:kern w:val="0"/>
          <w:sz w:val="24"/>
          <w:szCs w:val="24"/>
        </w:rPr>
        <w:t>月</w:t>
      </w:r>
      <w:r w:rsidR="00246970">
        <w:rPr>
          <w:rFonts w:ascii="Times New Roman" w:eastAsia="宋体" w:hAnsi="Times New Roman" w:cs="Times New Roman"/>
          <w:bCs/>
          <w:color w:val="000000" w:themeColor="text1"/>
          <w:kern w:val="0"/>
          <w:sz w:val="24"/>
          <w:szCs w:val="24"/>
        </w:rPr>
        <w:t>24</w:t>
      </w:r>
      <w:bookmarkStart w:id="0" w:name="_GoBack"/>
      <w:bookmarkEnd w:id="0"/>
      <w:r w:rsidRPr="002F7A80">
        <w:rPr>
          <w:rFonts w:ascii="Times New Roman" w:eastAsia="宋体" w:hAnsi="Times New Roman" w:cs="Times New Roman" w:hint="eastAsia"/>
          <w:bCs/>
          <w:color w:val="000000" w:themeColor="text1"/>
          <w:kern w:val="0"/>
          <w:sz w:val="24"/>
          <w:szCs w:val="24"/>
        </w:rPr>
        <w:t>日起正式生效。现将主要修订情况公告如下</w:t>
      </w:r>
      <w:r>
        <w:rPr>
          <w:rFonts w:ascii="Times New Roman" w:eastAsia="宋体" w:hAnsi="Times New Roman" w:cs="Times New Roman" w:hint="eastAsia"/>
          <w:bCs/>
          <w:color w:val="000000" w:themeColor="text1"/>
          <w:kern w:val="0"/>
          <w:sz w:val="24"/>
          <w:szCs w:val="24"/>
        </w:rPr>
        <w:t>：</w:t>
      </w:r>
    </w:p>
    <w:p w14:paraId="141C6682" w14:textId="77777777" w:rsidR="00653FEE" w:rsidRDefault="00863123">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一、修订基金范围</w:t>
      </w:r>
    </w:p>
    <w:tbl>
      <w:tblPr>
        <w:tblW w:w="9605" w:type="dxa"/>
        <w:tblLook w:val="04A0" w:firstRow="1" w:lastRow="0" w:firstColumn="1" w:lastColumn="0" w:noHBand="0" w:noVBand="1"/>
      </w:tblPr>
      <w:tblGrid>
        <w:gridCol w:w="724"/>
        <w:gridCol w:w="1227"/>
        <w:gridCol w:w="7654"/>
      </w:tblGrid>
      <w:tr w:rsidR="00653FEE" w:rsidRPr="00653FEE" w14:paraId="4231CE61" w14:textId="77777777" w:rsidTr="00BB506C">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543D3" w14:textId="77777777" w:rsidR="00653FEE" w:rsidRPr="00EF5870" w:rsidRDefault="00653FEE">
            <w:pPr>
              <w:widowControl/>
              <w:jc w:val="center"/>
              <w:rPr>
                <w:rFonts w:ascii="Times New Roman" w:eastAsia="宋体" w:hAnsi="Times New Roman" w:cs="Times New Roman"/>
                <w:color w:val="000000"/>
                <w:kern w:val="0"/>
                <w:sz w:val="24"/>
                <w:szCs w:val="24"/>
              </w:rPr>
            </w:pPr>
            <w:r w:rsidRPr="00EF5870">
              <w:rPr>
                <w:rFonts w:ascii="Times New Roman" w:eastAsia="宋体" w:hAnsi="Times New Roman" w:cs="Times New Roman" w:hint="eastAsia"/>
                <w:color w:val="000000"/>
                <w:kern w:val="0"/>
                <w:sz w:val="24"/>
                <w:szCs w:val="24"/>
              </w:rPr>
              <w:t>序号</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1957AAC7" w14:textId="77777777" w:rsidR="00653FEE" w:rsidRPr="00EF5870" w:rsidRDefault="00653FEE">
            <w:pPr>
              <w:widowControl/>
              <w:jc w:val="center"/>
              <w:rPr>
                <w:rFonts w:ascii="Times New Roman" w:eastAsia="宋体" w:hAnsi="Times New Roman" w:cs="Times New Roman"/>
                <w:color w:val="000000"/>
                <w:kern w:val="0"/>
                <w:sz w:val="24"/>
                <w:szCs w:val="24"/>
              </w:rPr>
            </w:pPr>
            <w:r w:rsidRPr="00EF5870">
              <w:rPr>
                <w:rFonts w:ascii="Times New Roman" w:eastAsia="宋体" w:hAnsi="Times New Roman" w:cs="Times New Roman" w:hint="eastAsia"/>
                <w:color w:val="000000"/>
                <w:kern w:val="0"/>
                <w:sz w:val="24"/>
                <w:szCs w:val="24"/>
              </w:rPr>
              <w:t>代码</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14:paraId="533F65D0" w14:textId="77777777" w:rsidR="00653FEE" w:rsidRPr="00EF5870" w:rsidRDefault="00653FEE">
            <w:pPr>
              <w:widowControl/>
              <w:jc w:val="center"/>
              <w:rPr>
                <w:rFonts w:ascii="Times New Roman" w:eastAsia="宋体" w:hAnsi="Times New Roman" w:cs="Times New Roman"/>
                <w:color w:val="000000"/>
                <w:kern w:val="0"/>
                <w:sz w:val="24"/>
                <w:szCs w:val="24"/>
              </w:rPr>
            </w:pPr>
            <w:r w:rsidRPr="00EF5870">
              <w:rPr>
                <w:rFonts w:ascii="Times New Roman" w:eastAsia="宋体" w:hAnsi="Times New Roman" w:cs="Times New Roman" w:hint="eastAsia"/>
                <w:color w:val="000000"/>
                <w:kern w:val="0"/>
                <w:sz w:val="24"/>
                <w:szCs w:val="24"/>
              </w:rPr>
              <w:t>基金全称</w:t>
            </w:r>
          </w:p>
        </w:tc>
      </w:tr>
      <w:tr w:rsidR="00653FEE" w:rsidRPr="00653FEE" w14:paraId="1CBADFDE" w14:textId="77777777" w:rsidTr="00BB506C">
        <w:trPr>
          <w:trHeight w:val="285"/>
        </w:trPr>
        <w:tc>
          <w:tcPr>
            <w:tcW w:w="724" w:type="dxa"/>
            <w:tcBorders>
              <w:top w:val="nil"/>
              <w:left w:val="single" w:sz="8" w:space="0" w:color="000000"/>
              <w:bottom w:val="single" w:sz="8" w:space="0" w:color="000000"/>
              <w:right w:val="single" w:sz="8" w:space="0" w:color="000000"/>
            </w:tcBorders>
            <w:shd w:val="clear" w:color="auto" w:fill="auto"/>
            <w:noWrap/>
            <w:vAlign w:val="center"/>
            <w:hideMark/>
          </w:tcPr>
          <w:p w14:paraId="0BC735B6" w14:textId="77777777" w:rsidR="00653FEE" w:rsidRPr="00EF5870" w:rsidRDefault="00653FEE" w:rsidP="00BB506C">
            <w:pPr>
              <w:widowControl/>
              <w:jc w:val="center"/>
              <w:rPr>
                <w:rFonts w:ascii="Times New Roman" w:eastAsia="宋体" w:hAnsi="Times New Roman" w:cs="Times New Roman"/>
                <w:color w:val="000000"/>
                <w:kern w:val="0"/>
                <w:sz w:val="24"/>
                <w:szCs w:val="24"/>
              </w:rPr>
            </w:pPr>
            <w:r w:rsidRPr="00EF5870">
              <w:rPr>
                <w:rFonts w:ascii="Times New Roman" w:eastAsia="宋体" w:hAnsi="Times New Roman" w:cs="Times New Roman"/>
                <w:color w:val="000000"/>
                <w:kern w:val="0"/>
                <w:sz w:val="24"/>
                <w:szCs w:val="24"/>
              </w:rPr>
              <w:t>1</w:t>
            </w:r>
          </w:p>
        </w:tc>
        <w:tc>
          <w:tcPr>
            <w:tcW w:w="1227" w:type="dxa"/>
            <w:tcBorders>
              <w:top w:val="nil"/>
              <w:left w:val="nil"/>
              <w:bottom w:val="single" w:sz="8" w:space="0" w:color="000000"/>
              <w:right w:val="single" w:sz="8" w:space="0" w:color="000000"/>
            </w:tcBorders>
            <w:shd w:val="clear" w:color="auto" w:fill="auto"/>
            <w:noWrap/>
            <w:vAlign w:val="center"/>
            <w:hideMark/>
          </w:tcPr>
          <w:p w14:paraId="74642BC1" w14:textId="09F350DA" w:rsidR="00653FEE" w:rsidRPr="00EF5870" w:rsidRDefault="00863D18" w:rsidP="00430BF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010703</w:t>
            </w:r>
          </w:p>
        </w:tc>
        <w:tc>
          <w:tcPr>
            <w:tcW w:w="7654" w:type="dxa"/>
            <w:tcBorders>
              <w:top w:val="nil"/>
              <w:left w:val="nil"/>
              <w:bottom w:val="single" w:sz="8" w:space="0" w:color="000000"/>
              <w:right w:val="single" w:sz="8" w:space="0" w:color="000000"/>
            </w:tcBorders>
            <w:shd w:val="clear" w:color="auto" w:fill="auto"/>
            <w:noWrap/>
            <w:vAlign w:val="center"/>
            <w:hideMark/>
          </w:tcPr>
          <w:p w14:paraId="41EF847F" w14:textId="5A6D1A1C" w:rsidR="00653FEE" w:rsidRPr="00EF5870" w:rsidRDefault="00430BFD" w:rsidP="00BB506C">
            <w:pPr>
              <w:widowControl/>
              <w:jc w:val="center"/>
              <w:rPr>
                <w:rFonts w:ascii="Times New Roman" w:eastAsia="宋体" w:hAnsi="Times New Roman" w:cs="Times New Roman"/>
                <w:color w:val="000000"/>
                <w:kern w:val="0"/>
                <w:sz w:val="24"/>
                <w:szCs w:val="24"/>
              </w:rPr>
            </w:pPr>
            <w:r w:rsidRPr="00430BFD">
              <w:rPr>
                <w:rFonts w:ascii="Times New Roman" w:eastAsia="宋体" w:hAnsi="Times New Roman" w:cs="Times New Roman" w:hint="eastAsia"/>
                <w:color w:val="000000"/>
                <w:kern w:val="0"/>
                <w:sz w:val="24"/>
                <w:szCs w:val="24"/>
              </w:rPr>
              <w:t>财通智选消费股票型证券投资基金</w:t>
            </w:r>
          </w:p>
        </w:tc>
      </w:tr>
      <w:tr w:rsidR="00653FEE" w:rsidRPr="00653FEE" w14:paraId="5823A281" w14:textId="77777777" w:rsidTr="00BB506C">
        <w:trPr>
          <w:trHeight w:val="285"/>
        </w:trPr>
        <w:tc>
          <w:tcPr>
            <w:tcW w:w="724" w:type="dxa"/>
            <w:tcBorders>
              <w:top w:val="nil"/>
              <w:left w:val="single" w:sz="8" w:space="0" w:color="000000"/>
              <w:bottom w:val="single" w:sz="8" w:space="0" w:color="000000"/>
              <w:right w:val="single" w:sz="8" w:space="0" w:color="000000"/>
            </w:tcBorders>
            <w:shd w:val="clear" w:color="auto" w:fill="auto"/>
            <w:noWrap/>
            <w:vAlign w:val="center"/>
            <w:hideMark/>
          </w:tcPr>
          <w:p w14:paraId="482B186C" w14:textId="268F8AFA" w:rsidR="00653FEE" w:rsidRPr="00EF5870" w:rsidRDefault="00ED6FAD" w:rsidP="00BB506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p>
        </w:tc>
        <w:tc>
          <w:tcPr>
            <w:tcW w:w="1227" w:type="dxa"/>
            <w:tcBorders>
              <w:top w:val="nil"/>
              <w:left w:val="nil"/>
              <w:bottom w:val="single" w:sz="8" w:space="0" w:color="000000"/>
              <w:right w:val="single" w:sz="8" w:space="0" w:color="000000"/>
            </w:tcBorders>
            <w:shd w:val="clear" w:color="auto" w:fill="auto"/>
            <w:noWrap/>
            <w:vAlign w:val="center"/>
            <w:hideMark/>
          </w:tcPr>
          <w:p w14:paraId="3854B9BB" w14:textId="156C0169" w:rsidR="00653FEE" w:rsidRPr="00EF5870" w:rsidRDefault="00863D18" w:rsidP="00BB506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010418</w:t>
            </w:r>
          </w:p>
        </w:tc>
        <w:tc>
          <w:tcPr>
            <w:tcW w:w="7654" w:type="dxa"/>
            <w:tcBorders>
              <w:top w:val="nil"/>
              <w:left w:val="nil"/>
              <w:bottom w:val="single" w:sz="8" w:space="0" w:color="000000"/>
              <w:right w:val="single" w:sz="8" w:space="0" w:color="000000"/>
            </w:tcBorders>
            <w:shd w:val="clear" w:color="auto" w:fill="auto"/>
            <w:noWrap/>
            <w:vAlign w:val="center"/>
            <w:hideMark/>
          </w:tcPr>
          <w:p w14:paraId="25661440" w14:textId="0B560170" w:rsidR="00653FEE" w:rsidRPr="00EF5870" w:rsidRDefault="00430BFD" w:rsidP="00BB506C">
            <w:pPr>
              <w:widowControl/>
              <w:jc w:val="center"/>
              <w:rPr>
                <w:rFonts w:ascii="Times New Roman" w:eastAsia="宋体" w:hAnsi="Times New Roman" w:cs="Times New Roman"/>
                <w:color w:val="000000"/>
                <w:kern w:val="0"/>
                <w:sz w:val="24"/>
                <w:szCs w:val="24"/>
              </w:rPr>
            </w:pPr>
            <w:r w:rsidRPr="00430BFD">
              <w:rPr>
                <w:rFonts w:ascii="Times New Roman" w:eastAsia="宋体" w:hAnsi="Times New Roman" w:cs="Times New Roman" w:hint="eastAsia"/>
                <w:color w:val="000000"/>
                <w:kern w:val="0"/>
                <w:sz w:val="24"/>
                <w:szCs w:val="24"/>
              </w:rPr>
              <w:t>财通景气行业一年封闭运作混合型证券投资基金</w:t>
            </w:r>
          </w:p>
        </w:tc>
      </w:tr>
      <w:tr w:rsidR="00653FEE" w:rsidRPr="00653FEE" w14:paraId="5DE6C3F6" w14:textId="77777777" w:rsidTr="00BB506C">
        <w:trPr>
          <w:trHeight w:val="285"/>
        </w:trPr>
        <w:tc>
          <w:tcPr>
            <w:tcW w:w="724" w:type="dxa"/>
            <w:tcBorders>
              <w:top w:val="nil"/>
              <w:left w:val="single" w:sz="8" w:space="0" w:color="000000"/>
              <w:bottom w:val="single" w:sz="8" w:space="0" w:color="000000"/>
              <w:right w:val="single" w:sz="8" w:space="0" w:color="000000"/>
            </w:tcBorders>
            <w:shd w:val="clear" w:color="auto" w:fill="auto"/>
            <w:noWrap/>
            <w:vAlign w:val="center"/>
            <w:hideMark/>
          </w:tcPr>
          <w:p w14:paraId="6A1E2519" w14:textId="7D81D8DC" w:rsidR="00653FEE" w:rsidRPr="00EF5870" w:rsidRDefault="00ED6FAD" w:rsidP="00BB506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3</w:t>
            </w:r>
          </w:p>
        </w:tc>
        <w:tc>
          <w:tcPr>
            <w:tcW w:w="1227" w:type="dxa"/>
            <w:tcBorders>
              <w:top w:val="nil"/>
              <w:left w:val="nil"/>
              <w:bottom w:val="single" w:sz="8" w:space="0" w:color="000000"/>
              <w:right w:val="single" w:sz="8" w:space="0" w:color="000000"/>
            </w:tcBorders>
            <w:shd w:val="clear" w:color="auto" w:fill="auto"/>
            <w:noWrap/>
            <w:vAlign w:val="center"/>
            <w:hideMark/>
          </w:tcPr>
          <w:p w14:paraId="2182220D" w14:textId="5D005BAB" w:rsidR="00653FEE" w:rsidRPr="00EF5870" w:rsidRDefault="00863D18" w:rsidP="00BB506C">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010636</w:t>
            </w:r>
          </w:p>
        </w:tc>
        <w:tc>
          <w:tcPr>
            <w:tcW w:w="7654" w:type="dxa"/>
            <w:tcBorders>
              <w:top w:val="nil"/>
              <w:left w:val="nil"/>
              <w:bottom w:val="single" w:sz="8" w:space="0" w:color="000000"/>
              <w:right w:val="single" w:sz="8" w:space="0" w:color="000000"/>
            </w:tcBorders>
            <w:shd w:val="clear" w:color="auto" w:fill="auto"/>
            <w:noWrap/>
            <w:vAlign w:val="center"/>
            <w:hideMark/>
          </w:tcPr>
          <w:p w14:paraId="18610AC4" w14:textId="71C99D57" w:rsidR="00653FEE" w:rsidRPr="00EF5870" w:rsidRDefault="00430BFD" w:rsidP="00BB506C">
            <w:pPr>
              <w:widowControl/>
              <w:jc w:val="center"/>
              <w:rPr>
                <w:rFonts w:ascii="Times New Roman" w:eastAsia="宋体" w:hAnsi="Times New Roman" w:cs="Times New Roman"/>
                <w:color w:val="000000"/>
                <w:kern w:val="0"/>
                <w:sz w:val="24"/>
                <w:szCs w:val="24"/>
              </w:rPr>
            </w:pPr>
            <w:r w:rsidRPr="00430BFD">
              <w:rPr>
                <w:rFonts w:ascii="Times New Roman" w:eastAsia="宋体" w:hAnsi="Times New Roman" w:cs="Times New Roman" w:hint="eastAsia"/>
                <w:color w:val="000000"/>
                <w:kern w:val="0"/>
                <w:sz w:val="24"/>
                <w:szCs w:val="24"/>
              </w:rPr>
              <w:t>财通安盈混合型证券投资基金</w:t>
            </w:r>
          </w:p>
        </w:tc>
      </w:tr>
    </w:tbl>
    <w:p w14:paraId="2EE2D3BB" w14:textId="77777777" w:rsidR="00863123" w:rsidRPr="00282C24" w:rsidRDefault="00863123">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二、</w:t>
      </w:r>
      <w:r w:rsidR="00653FEE" w:rsidRPr="00653FEE">
        <w:rPr>
          <w:rFonts w:ascii="Times New Roman" w:eastAsia="宋体" w:hAnsi="Times New Roman" w:cs="Times New Roman" w:hint="eastAsia"/>
          <w:bCs/>
          <w:color w:val="000000" w:themeColor="text1"/>
          <w:kern w:val="0"/>
          <w:sz w:val="24"/>
          <w:szCs w:val="24"/>
        </w:rPr>
        <w:t>基金合同及招募说明书</w:t>
      </w:r>
      <w:r w:rsidR="00B417D9" w:rsidRPr="00B417D9">
        <w:rPr>
          <w:rFonts w:ascii="Times New Roman" w:eastAsia="宋体" w:hAnsi="Times New Roman" w:cs="Times New Roman" w:hint="eastAsia"/>
          <w:bCs/>
          <w:color w:val="000000" w:themeColor="text1"/>
          <w:kern w:val="0"/>
          <w:sz w:val="24"/>
          <w:szCs w:val="24"/>
        </w:rPr>
        <w:t>（更新）</w:t>
      </w:r>
      <w:r w:rsidR="00653FEE" w:rsidRPr="00653FEE">
        <w:rPr>
          <w:rFonts w:ascii="Times New Roman" w:eastAsia="宋体" w:hAnsi="Times New Roman" w:cs="Times New Roman" w:hint="eastAsia"/>
          <w:bCs/>
          <w:color w:val="000000" w:themeColor="text1"/>
          <w:kern w:val="0"/>
          <w:sz w:val="24"/>
          <w:szCs w:val="24"/>
        </w:rPr>
        <w:t>的修订</w:t>
      </w:r>
    </w:p>
    <w:p w14:paraId="4EE16AE6" w14:textId="77777777" w:rsidR="00847DB6" w:rsidRPr="00847DB6" w:rsidRDefault="00847DB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47DB6">
        <w:rPr>
          <w:rFonts w:ascii="Times New Roman" w:eastAsia="宋体" w:hAnsi="Times New Roman" w:cs="Times New Roman" w:hint="eastAsia"/>
          <w:bCs/>
          <w:color w:val="000000" w:themeColor="text1"/>
          <w:kern w:val="0"/>
          <w:sz w:val="24"/>
          <w:szCs w:val="24"/>
        </w:rPr>
        <w:t>（一）在</w:t>
      </w:r>
      <w:r w:rsidR="005E04E9">
        <w:rPr>
          <w:rFonts w:ascii="Times New Roman" w:eastAsia="宋体" w:hAnsi="Times New Roman" w:cs="Times New Roman" w:hint="eastAsia"/>
          <w:bCs/>
          <w:color w:val="000000" w:themeColor="text1"/>
          <w:kern w:val="0"/>
          <w:sz w:val="24"/>
          <w:szCs w:val="24"/>
        </w:rPr>
        <w:t>基金合同</w:t>
      </w:r>
      <w:r w:rsidRPr="00847DB6">
        <w:rPr>
          <w:rFonts w:ascii="Times New Roman" w:eastAsia="宋体" w:hAnsi="Times New Roman" w:cs="Times New Roman" w:hint="eastAsia"/>
          <w:bCs/>
          <w:color w:val="000000" w:themeColor="text1"/>
          <w:kern w:val="0"/>
          <w:sz w:val="24"/>
          <w:szCs w:val="24"/>
        </w:rPr>
        <w:t>“前言”部分增加投资存托凭证的风险揭示</w:t>
      </w:r>
    </w:p>
    <w:p w14:paraId="38CEDBB6" w14:textId="5EA60ADD" w:rsidR="00847DB6" w:rsidRPr="00BB506C" w:rsidRDefault="00847DB6" w:rsidP="00BB506C">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BB506C">
        <w:rPr>
          <w:rFonts w:ascii="Times New Roman" w:eastAsia="宋体" w:hAnsi="Times New Roman" w:cs="Times New Roman" w:hint="eastAsia"/>
          <w:b/>
          <w:bCs/>
          <w:color w:val="000000" w:themeColor="text1"/>
          <w:kern w:val="0"/>
          <w:sz w:val="24"/>
          <w:szCs w:val="24"/>
        </w:rPr>
        <w:t>“本基金的投资范围包括存托凭证，面临存托凭证价格大幅波动甚至出现较大亏损的风险、与存托凭证发行机制相关的风险等。”</w:t>
      </w:r>
    </w:p>
    <w:p w14:paraId="72CFAD01" w14:textId="77777777" w:rsidR="00847DB6" w:rsidRPr="00847DB6" w:rsidRDefault="00847DB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47DB6">
        <w:rPr>
          <w:rFonts w:ascii="Times New Roman" w:eastAsia="宋体" w:hAnsi="Times New Roman" w:cs="Times New Roman" w:hint="eastAsia"/>
          <w:bCs/>
          <w:color w:val="000000" w:themeColor="text1"/>
          <w:kern w:val="0"/>
          <w:sz w:val="24"/>
          <w:szCs w:val="24"/>
        </w:rPr>
        <w:t>（二）对“基金的投资”部分的修订</w:t>
      </w:r>
    </w:p>
    <w:p w14:paraId="242D020A" w14:textId="2C682BDD" w:rsidR="00847DB6" w:rsidRPr="00847DB6" w:rsidRDefault="00847DB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47DB6">
        <w:rPr>
          <w:rFonts w:ascii="Times New Roman" w:eastAsia="宋体" w:hAnsi="Times New Roman" w:cs="Times New Roman" w:hint="eastAsia"/>
          <w:bCs/>
          <w:color w:val="000000" w:themeColor="text1"/>
          <w:kern w:val="0"/>
          <w:sz w:val="24"/>
          <w:szCs w:val="24"/>
        </w:rPr>
        <w:t>1</w:t>
      </w:r>
      <w:r w:rsidRPr="00847DB6">
        <w:rPr>
          <w:rFonts w:ascii="Times New Roman" w:eastAsia="宋体" w:hAnsi="Times New Roman" w:cs="Times New Roman" w:hint="eastAsia"/>
          <w:bCs/>
          <w:color w:val="000000" w:themeColor="text1"/>
          <w:kern w:val="0"/>
          <w:sz w:val="24"/>
          <w:szCs w:val="24"/>
        </w:rPr>
        <w:t>、明确“投资范围”中包含存托凭证。以</w:t>
      </w:r>
      <w:r w:rsidR="00430BFD" w:rsidRPr="00430BFD">
        <w:rPr>
          <w:rFonts w:ascii="Times New Roman" w:eastAsia="宋体" w:hAnsi="Times New Roman" w:cs="Times New Roman" w:hint="eastAsia"/>
          <w:bCs/>
          <w:color w:val="000000" w:themeColor="text1"/>
          <w:kern w:val="0"/>
          <w:sz w:val="24"/>
          <w:szCs w:val="24"/>
        </w:rPr>
        <w:t>财通智选消费股票型证券投资基金</w:t>
      </w:r>
      <w:r w:rsidRPr="00847DB6">
        <w:rPr>
          <w:rFonts w:ascii="Times New Roman" w:eastAsia="宋体" w:hAnsi="Times New Roman" w:cs="Times New Roman" w:hint="eastAsia"/>
          <w:bCs/>
          <w:color w:val="000000" w:themeColor="text1"/>
          <w:kern w:val="0"/>
          <w:sz w:val="24"/>
          <w:szCs w:val="24"/>
        </w:rPr>
        <w:t>为例，将“投资范围”修订为：</w:t>
      </w:r>
    </w:p>
    <w:p w14:paraId="6DB40B14" w14:textId="2DEEDD36" w:rsidR="00847DB6" w:rsidRPr="00847DB6" w:rsidRDefault="00847DB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47DB6">
        <w:rPr>
          <w:rFonts w:ascii="Times New Roman" w:eastAsia="宋体" w:hAnsi="Times New Roman" w:cs="Times New Roman" w:hint="eastAsia"/>
          <w:bCs/>
          <w:color w:val="000000" w:themeColor="text1"/>
          <w:kern w:val="0"/>
          <w:sz w:val="24"/>
          <w:szCs w:val="24"/>
        </w:rPr>
        <w:t>“</w:t>
      </w:r>
      <w:r w:rsidR="00430BFD" w:rsidRPr="00430BFD">
        <w:rPr>
          <w:rFonts w:ascii="Times New Roman" w:eastAsia="宋体" w:hAnsi="Times New Roman" w:cs="Times New Roman" w:hint="eastAsia"/>
          <w:bCs/>
          <w:color w:val="000000" w:themeColor="text1"/>
          <w:kern w:val="0"/>
          <w:sz w:val="24"/>
          <w:szCs w:val="24"/>
        </w:rPr>
        <w:t>本基金的投资范围为具有良好流动性的金融工具，包括国内依法发行上市的股票（包括主板、中小板、创业板及其他经中国证监会核准或注册上市的股票、</w:t>
      </w:r>
      <w:r w:rsidR="00430BFD" w:rsidRPr="00EF5870">
        <w:rPr>
          <w:rFonts w:ascii="Times New Roman" w:eastAsia="宋体" w:hAnsi="Times New Roman" w:cs="Times New Roman" w:hint="eastAsia"/>
          <w:b/>
          <w:bCs/>
          <w:color w:val="000000" w:themeColor="text1"/>
          <w:kern w:val="0"/>
          <w:sz w:val="24"/>
          <w:szCs w:val="24"/>
        </w:rPr>
        <w:t>存托凭证</w:t>
      </w:r>
      <w:r w:rsidR="00430BFD" w:rsidRPr="00430BFD">
        <w:rPr>
          <w:rFonts w:ascii="Times New Roman" w:eastAsia="宋体" w:hAnsi="Times New Roman" w:cs="Times New Roman" w:hint="eastAsia"/>
          <w:bCs/>
          <w:color w:val="000000" w:themeColor="text1"/>
          <w:kern w:val="0"/>
          <w:sz w:val="24"/>
          <w:szCs w:val="24"/>
        </w:rPr>
        <w:t>）、港股通标的股票、债券（含国债、央行票据、金融债券、地方政府债券、</w:t>
      </w:r>
      <w:r w:rsidR="00430BFD" w:rsidRPr="00430BFD">
        <w:rPr>
          <w:rFonts w:ascii="Times New Roman" w:eastAsia="宋体" w:hAnsi="Times New Roman" w:cs="Times New Roman" w:hint="eastAsia"/>
          <w:bCs/>
          <w:color w:val="000000" w:themeColor="text1"/>
          <w:kern w:val="0"/>
          <w:sz w:val="24"/>
          <w:szCs w:val="24"/>
        </w:rPr>
        <w:lastRenderedPageBreak/>
        <w:t>政府支持机构债券、政府支持债券、企业债券、公司债券、中期票据、短期融资券、超短期融资券、次级债券、可转换债券（含分离交易的可转债）、可交换债券）、资产支持证券、债券回购、银行存款（包括定期存款、协议存款、通知存款等）、同业存单、货币市场工具、股指期货以及法律法规或中国证监会允许基金投资的其他金融工具</w:t>
      </w:r>
      <w:r w:rsidR="00430BFD" w:rsidRPr="00430BFD">
        <w:rPr>
          <w:rFonts w:ascii="Times New Roman" w:eastAsia="宋体" w:hAnsi="Times New Roman" w:cs="Times New Roman" w:hint="eastAsia"/>
          <w:bCs/>
          <w:color w:val="000000" w:themeColor="text1"/>
          <w:kern w:val="0"/>
          <w:sz w:val="24"/>
          <w:szCs w:val="24"/>
        </w:rPr>
        <w:t>(</w:t>
      </w:r>
      <w:r w:rsidR="00430BFD" w:rsidRPr="00430BFD">
        <w:rPr>
          <w:rFonts w:ascii="Times New Roman" w:eastAsia="宋体" w:hAnsi="Times New Roman" w:cs="Times New Roman" w:hint="eastAsia"/>
          <w:bCs/>
          <w:color w:val="000000" w:themeColor="text1"/>
          <w:kern w:val="0"/>
          <w:sz w:val="24"/>
          <w:szCs w:val="24"/>
        </w:rPr>
        <w:t>但须符合中国证监会相关规定</w:t>
      </w:r>
      <w:r w:rsidR="00430BFD" w:rsidRPr="00430BFD">
        <w:rPr>
          <w:rFonts w:ascii="Times New Roman" w:eastAsia="宋体" w:hAnsi="Times New Roman" w:cs="Times New Roman" w:hint="eastAsia"/>
          <w:bCs/>
          <w:color w:val="000000" w:themeColor="text1"/>
          <w:kern w:val="0"/>
          <w:sz w:val="24"/>
          <w:szCs w:val="24"/>
        </w:rPr>
        <w:t>)</w:t>
      </w:r>
      <w:r w:rsidR="00430BFD" w:rsidRPr="00430BFD">
        <w:rPr>
          <w:rFonts w:ascii="Times New Roman" w:eastAsia="宋体" w:hAnsi="Times New Roman" w:cs="Times New Roman" w:hint="eastAsia"/>
          <w:bCs/>
          <w:color w:val="000000" w:themeColor="text1"/>
          <w:kern w:val="0"/>
          <w:sz w:val="24"/>
          <w:szCs w:val="24"/>
        </w:rPr>
        <w:t>。</w:t>
      </w:r>
    </w:p>
    <w:p w14:paraId="2F19E91D" w14:textId="77777777" w:rsidR="00847DB6" w:rsidRPr="00847DB6" w:rsidRDefault="00847DB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47DB6">
        <w:rPr>
          <w:rFonts w:ascii="Times New Roman" w:eastAsia="宋体" w:hAnsi="Times New Roman" w:cs="Times New Roman" w:hint="eastAsia"/>
          <w:bCs/>
          <w:color w:val="000000" w:themeColor="text1"/>
          <w:kern w:val="0"/>
          <w:sz w:val="24"/>
          <w:szCs w:val="24"/>
        </w:rPr>
        <w:t>如法律法规或监管机构以后允许基金投资其他品种，基金管理人在履行适当程序后，可以将其纳入投资范围。</w:t>
      </w:r>
    </w:p>
    <w:p w14:paraId="08807149" w14:textId="77777777" w:rsidR="00430BFD" w:rsidRDefault="00430BFD" w:rsidP="00430BFD">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430BFD">
        <w:rPr>
          <w:rFonts w:ascii="Times New Roman" w:eastAsia="宋体" w:hAnsi="Times New Roman" w:cs="Times New Roman" w:hint="eastAsia"/>
          <w:bCs/>
          <w:color w:val="000000" w:themeColor="text1"/>
          <w:kern w:val="0"/>
          <w:sz w:val="24"/>
          <w:szCs w:val="24"/>
        </w:rPr>
        <w:t>基金的投资组合比例为：本基金股票</w:t>
      </w:r>
      <w:r w:rsidRPr="00EF5870">
        <w:rPr>
          <w:rFonts w:ascii="Times New Roman" w:eastAsia="宋体" w:hAnsi="Times New Roman" w:cs="Times New Roman" w:hint="eastAsia"/>
          <w:b/>
          <w:bCs/>
          <w:color w:val="000000" w:themeColor="text1"/>
          <w:kern w:val="0"/>
          <w:sz w:val="24"/>
          <w:szCs w:val="24"/>
        </w:rPr>
        <w:t>（含存托凭证）</w:t>
      </w:r>
      <w:r w:rsidRPr="00430BFD">
        <w:rPr>
          <w:rFonts w:ascii="Times New Roman" w:eastAsia="宋体" w:hAnsi="Times New Roman" w:cs="Times New Roman" w:hint="eastAsia"/>
          <w:bCs/>
          <w:color w:val="000000" w:themeColor="text1"/>
          <w:kern w:val="0"/>
          <w:sz w:val="24"/>
          <w:szCs w:val="24"/>
        </w:rPr>
        <w:t>投资占基金资产的比例为</w:t>
      </w:r>
      <w:r w:rsidRPr="00430BFD">
        <w:rPr>
          <w:rFonts w:ascii="Times New Roman" w:eastAsia="宋体" w:hAnsi="Times New Roman" w:cs="Times New Roman" w:hint="eastAsia"/>
          <w:bCs/>
          <w:color w:val="000000" w:themeColor="text1"/>
          <w:kern w:val="0"/>
          <w:sz w:val="24"/>
          <w:szCs w:val="24"/>
        </w:rPr>
        <w:t>80%</w:t>
      </w:r>
      <w:r w:rsidRPr="00430BFD">
        <w:rPr>
          <w:rFonts w:ascii="Times New Roman" w:eastAsia="宋体" w:hAnsi="Times New Roman" w:cs="Times New Roman" w:hint="eastAsia"/>
          <w:bCs/>
          <w:color w:val="000000" w:themeColor="text1"/>
          <w:kern w:val="0"/>
          <w:sz w:val="24"/>
          <w:szCs w:val="24"/>
        </w:rPr>
        <w:t>–</w:t>
      </w:r>
      <w:r w:rsidRPr="00430BFD">
        <w:rPr>
          <w:rFonts w:ascii="Times New Roman" w:eastAsia="宋体" w:hAnsi="Times New Roman" w:cs="Times New Roman" w:hint="eastAsia"/>
          <w:bCs/>
          <w:color w:val="000000" w:themeColor="text1"/>
          <w:kern w:val="0"/>
          <w:sz w:val="24"/>
          <w:szCs w:val="24"/>
        </w:rPr>
        <w:t>95%</w:t>
      </w:r>
      <w:r w:rsidRPr="00430BFD">
        <w:rPr>
          <w:rFonts w:ascii="Times New Roman" w:eastAsia="宋体" w:hAnsi="Times New Roman" w:cs="Times New Roman" w:hint="eastAsia"/>
          <w:bCs/>
          <w:color w:val="000000" w:themeColor="text1"/>
          <w:kern w:val="0"/>
          <w:sz w:val="24"/>
          <w:szCs w:val="24"/>
        </w:rPr>
        <w:t>（其中投资于港股通标的股票的比例占股票资产的</w:t>
      </w:r>
      <w:r w:rsidRPr="00430BFD">
        <w:rPr>
          <w:rFonts w:ascii="Times New Roman" w:eastAsia="宋体" w:hAnsi="Times New Roman" w:cs="Times New Roman" w:hint="eastAsia"/>
          <w:bCs/>
          <w:color w:val="000000" w:themeColor="text1"/>
          <w:kern w:val="0"/>
          <w:sz w:val="24"/>
          <w:szCs w:val="24"/>
        </w:rPr>
        <w:t>0-50%</w:t>
      </w:r>
      <w:r w:rsidRPr="00430BFD">
        <w:rPr>
          <w:rFonts w:ascii="Times New Roman" w:eastAsia="宋体" w:hAnsi="Times New Roman" w:cs="Times New Roman" w:hint="eastAsia"/>
          <w:bCs/>
          <w:color w:val="000000" w:themeColor="text1"/>
          <w:kern w:val="0"/>
          <w:sz w:val="24"/>
          <w:szCs w:val="24"/>
        </w:rPr>
        <w:t>），其中投资于消费行业证券的比例不低于非现金基金资产的</w:t>
      </w:r>
      <w:r w:rsidRPr="00430BFD">
        <w:rPr>
          <w:rFonts w:ascii="Times New Roman" w:eastAsia="宋体" w:hAnsi="Times New Roman" w:cs="Times New Roman" w:hint="eastAsia"/>
          <w:bCs/>
          <w:color w:val="000000" w:themeColor="text1"/>
          <w:kern w:val="0"/>
          <w:sz w:val="24"/>
          <w:szCs w:val="24"/>
        </w:rPr>
        <w:t>80%</w:t>
      </w:r>
      <w:r w:rsidRPr="00430BFD">
        <w:rPr>
          <w:rFonts w:ascii="Times New Roman" w:eastAsia="宋体" w:hAnsi="Times New Roman" w:cs="Times New Roman" w:hint="eastAsia"/>
          <w:bCs/>
          <w:color w:val="000000" w:themeColor="text1"/>
          <w:kern w:val="0"/>
          <w:sz w:val="24"/>
          <w:szCs w:val="24"/>
        </w:rPr>
        <w:t>；本基金每个交易日日终在扣除股指期货合约需缴纳的交易保证金后，应当保持不低于基金资产净值</w:t>
      </w:r>
      <w:r w:rsidRPr="00430BFD">
        <w:rPr>
          <w:rFonts w:ascii="Times New Roman" w:eastAsia="宋体" w:hAnsi="Times New Roman" w:cs="Times New Roman" w:hint="eastAsia"/>
          <w:bCs/>
          <w:color w:val="000000" w:themeColor="text1"/>
          <w:kern w:val="0"/>
          <w:sz w:val="24"/>
          <w:szCs w:val="24"/>
        </w:rPr>
        <w:t>5%</w:t>
      </w:r>
      <w:r w:rsidRPr="00430BFD">
        <w:rPr>
          <w:rFonts w:ascii="Times New Roman" w:eastAsia="宋体" w:hAnsi="Times New Roman" w:cs="Times New Roman" w:hint="eastAsia"/>
          <w:bCs/>
          <w:color w:val="000000" w:themeColor="text1"/>
          <w:kern w:val="0"/>
          <w:sz w:val="24"/>
          <w:szCs w:val="24"/>
        </w:rPr>
        <w:t>的现金或者到期日在一年以内的政府债券，其中，现金不包括结算备付金、存出保证金、应收申购款等。</w:t>
      </w:r>
    </w:p>
    <w:p w14:paraId="1010D847" w14:textId="2A6BCF10" w:rsidR="00847DB6" w:rsidRPr="00847DB6" w:rsidRDefault="00430BFD" w:rsidP="00430BFD">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430BFD">
        <w:rPr>
          <w:rFonts w:ascii="Times New Roman" w:eastAsia="宋体" w:hAnsi="Times New Roman" w:cs="Times New Roman" w:hint="eastAsia"/>
          <w:bCs/>
          <w:color w:val="000000" w:themeColor="text1"/>
          <w:kern w:val="0"/>
          <w:sz w:val="24"/>
          <w:szCs w:val="24"/>
        </w:rPr>
        <w:t>如法律法规或中国证监会变更上述投资品种的比例限制，基金管理人在履行适当程序后，可以调整上述投资品种的投资比例。</w:t>
      </w:r>
      <w:r w:rsidR="00847DB6" w:rsidRPr="00847DB6">
        <w:rPr>
          <w:rFonts w:ascii="Times New Roman" w:eastAsia="宋体" w:hAnsi="Times New Roman" w:cs="Times New Roman" w:hint="eastAsia"/>
          <w:bCs/>
          <w:color w:val="000000" w:themeColor="text1"/>
          <w:kern w:val="0"/>
          <w:sz w:val="24"/>
          <w:szCs w:val="24"/>
        </w:rPr>
        <w:t>”</w:t>
      </w:r>
    </w:p>
    <w:p w14:paraId="7145CDFE" w14:textId="2D10A5BA" w:rsidR="00847DB6" w:rsidRDefault="00847DB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47DB6">
        <w:rPr>
          <w:rFonts w:ascii="Times New Roman" w:eastAsia="宋体" w:hAnsi="Times New Roman" w:cs="Times New Roman" w:hint="eastAsia"/>
          <w:bCs/>
          <w:color w:val="000000" w:themeColor="text1"/>
          <w:kern w:val="0"/>
          <w:sz w:val="24"/>
          <w:szCs w:val="24"/>
        </w:rPr>
        <w:t>2</w:t>
      </w:r>
      <w:r w:rsidRPr="00847DB6">
        <w:rPr>
          <w:rFonts w:ascii="Times New Roman" w:eastAsia="宋体" w:hAnsi="Times New Roman" w:cs="Times New Roman" w:hint="eastAsia"/>
          <w:bCs/>
          <w:color w:val="000000" w:themeColor="text1"/>
          <w:kern w:val="0"/>
          <w:sz w:val="24"/>
          <w:szCs w:val="24"/>
        </w:rPr>
        <w:t>、在“投资策略”部分增加存托凭证投资策略描述如下：</w:t>
      </w:r>
    </w:p>
    <w:p w14:paraId="1DFC7DF0" w14:textId="1F5F45C6" w:rsidR="009163AD" w:rsidRDefault="008E5498" w:rsidP="00BB506C">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BB506C">
        <w:rPr>
          <w:rFonts w:ascii="Times New Roman" w:eastAsia="宋体" w:hAnsi="Times New Roman" w:cs="Times New Roman" w:hint="eastAsia"/>
          <w:b/>
          <w:bCs/>
          <w:color w:val="000000" w:themeColor="text1"/>
          <w:kern w:val="0"/>
          <w:sz w:val="24"/>
          <w:szCs w:val="24"/>
        </w:rPr>
        <w:t>“</w:t>
      </w:r>
      <w:r w:rsidR="009163AD" w:rsidRPr="009163AD">
        <w:rPr>
          <w:rFonts w:ascii="Times New Roman" w:eastAsia="宋体" w:hAnsi="Times New Roman" w:cs="Times New Roman" w:hint="eastAsia"/>
          <w:b/>
          <w:bCs/>
          <w:color w:val="000000" w:themeColor="text1"/>
          <w:kern w:val="0"/>
          <w:sz w:val="24"/>
          <w:szCs w:val="24"/>
        </w:rPr>
        <w:t>存托凭证投资策略</w:t>
      </w:r>
    </w:p>
    <w:p w14:paraId="7A7832FB" w14:textId="258E15C9" w:rsidR="008E5498" w:rsidRPr="00BB506C" w:rsidRDefault="00430BFD" w:rsidP="00BB506C">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430BFD">
        <w:rPr>
          <w:rFonts w:ascii="Times New Roman" w:eastAsia="宋体" w:hAnsi="Times New Roman" w:cs="Times New Roman" w:hint="eastAsia"/>
          <w:b/>
          <w:bCs/>
          <w:color w:val="000000" w:themeColor="text1"/>
          <w:kern w:val="0"/>
          <w:sz w:val="24"/>
          <w:szCs w:val="24"/>
        </w:rPr>
        <w:t>本基金将根据投资目标和股票投资策略，基于对基础证券投资价值的深入研究判断，进行存托凭证的投资。</w:t>
      </w:r>
      <w:r w:rsidR="008E5498" w:rsidRPr="00BB506C">
        <w:rPr>
          <w:rFonts w:ascii="Times New Roman" w:eastAsia="宋体" w:hAnsi="Times New Roman" w:cs="Times New Roman" w:hint="eastAsia"/>
          <w:b/>
          <w:bCs/>
          <w:color w:val="000000" w:themeColor="text1"/>
          <w:kern w:val="0"/>
          <w:sz w:val="24"/>
          <w:szCs w:val="24"/>
        </w:rPr>
        <w:t>”</w:t>
      </w:r>
    </w:p>
    <w:p w14:paraId="7048BC5E" w14:textId="5274BFB1" w:rsidR="00847DB6" w:rsidRPr="00847DB6" w:rsidRDefault="00847DB6" w:rsidP="00972DB7">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47DB6">
        <w:rPr>
          <w:rFonts w:ascii="Times New Roman" w:eastAsia="宋体" w:hAnsi="Times New Roman" w:cs="Times New Roman" w:hint="eastAsia"/>
          <w:bCs/>
          <w:color w:val="000000" w:themeColor="text1"/>
          <w:kern w:val="0"/>
          <w:sz w:val="24"/>
          <w:szCs w:val="24"/>
        </w:rPr>
        <w:t>3</w:t>
      </w:r>
      <w:r w:rsidRPr="00847DB6">
        <w:rPr>
          <w:rFonts w:ascii="Times New Roman" w:eastAsia="宋体" w:hAnsi="Times New Roman" w:cs="Times New Roman" w:hint="eastAsia"/>
          <w:bCs/>
          <w:color w:val="000000" w:themeColor="text1"/>
          <w:kern w:val="0"/>
          <w:sz w:val="24"/>
          <w:szCs w:val="24"/>
        </w:rPr>
        <w:t>、在“投资限制”中增加存托凭证投资限制描述</w:t>
      </w:r>
      <w:r w:rsidR="009E3B91">
        <w:rPr>
          <w:rFonts w:ascii="Times New Roman" w:eastAsia="宋体" w:hAnsi="Times New Roman" w:cs="Times New Roman" w:hint="eastAsia"/>
          <w:bCs/>
          <w:color w:val="000000" w:themeColor="text1"/>
          <w:kern w:val="0"/>
          <w:sz w:val="24"/>
          <w:szCs w:val="24"/>
        </w:rPr>
        <w:t>，</w:t>
      </w:r>
      <w:r w:rsidR="009E3B91" w:rsidRPr="00847DB6">
        <w:rPr>
          <w:rFonts w:ascii="Times New Roman" w:eastAsia="宋体" w:hAnsi="Times New Roman" w:cs="Times New Roman" w:hint="eastAsia"/>
          <w:bCs/>
          <w:color w:val="000000" w:themeColor="text1"/>
          <w:kern w:val="0"/>
          <w:sz w:val="24"/>
          <w:szCs w:val="24"/>
        </w:rPr>
        <w:t>以</w:t>
      </w:r>
      <w:r w:rsidR="00430BFD" w:rsidRPr="00430BFD">
        <w:rPr>
          <w:rFonts w:ascii="Times New Roman" w:eastAsia="宋体" w:hAnsi="Times New Roman" w:cs="Times New Roman" w:hint="eastAsia"/>
          <w:bCs/>
          <w:color w:val="000000" w:themeColor="text1"/>
          <w:kern w:val="0"/>
          <w:sz w:val="24"/>
          <w:szCs w:val="24"/>
        </w:rPr>
        <w:t>财通智选消费股票型证券投资基金</w:t>
      </w:r>
      <w:r w:rsidR="009E3B91" w:rsidRPr="00847DB6">
        <w:rPr>
          <w:rFonts w:ascii="Times New Roman" w:eastAsia="宋体" w:hAnsi="Times New Roman" w:cs="Times New Roman" w:hint="eastAsia"/>
          <w:bCs/>
          <w:color w:val="000000" w:themeColor="text1"/>
          <w:kern w:val="0"/>
          <w:sz w:val="24"/>
          <w:szCs w:val="24"/>
        </w:rPr>
        <w:t>为例，将“投资</w:t>
      </w:r>
      <w:r w:rsidR="009E3B91">
        <w:rPr>
          <w:rFonts w:ascii="Times New Roman" w:eastAsia="宋体" w:hAnsi="Times New Roman" w:cs="Times New Roman" w:hint="eastAsia"/>
          <w:bCs/>
          <w:color w:val="000000" w:themeColor="text1"/>
          <w:kern w:val="0"/>
          <w:sz w:val="24"/>
          <w:szCs w:val="24"/>
        </w:rPr>
        <w:t>限制</w:t>
      </w:r>
      <w:r w:rsidR="009E3B91" w:rsidRPr="00847DB6">
        <w:rPr>
          <w:rFonts w:ascii="Times New Roman" w:eastAsia="宋体" w:hAnsi="Times New Roman" w:cs="Times New Roman" w:hint="eastAsia"/>
          <w:bCs/>
          <w:color w:val="000000" w:themeColor="text1"/>
          <w:kern w:val="0"/>
          <w:sz w:val="24"/>
          <w:szCs w:val="24"/>
        </w:rPr>
        <w:t>”</w:t>
      </w:r>
      <w:r w:rsidR="00330ACA">
        <w:rPr>
          <w:rFonts w:ascii="Times New Roman" w:eastAsia="宋体" w:hAnsi="Times New Roman" w:cs="Times New Roman" w:hint="eastAsia"/>
          <w:bCs/>
          <w:color w:val="000000" w:themeColor="text1"/>
          <w:kern w:val="0"/>
          <w:sz w:val="24"/>
          <w:szCs w:val="24"/>
        </w:rPr>
        <w:t>相应调整</w:t>
      </w:r>
      <w:r w:rsidR="006A76C7">
        <w:rPr>
          <w:rFonts w:ascii="Times New Roman" w:eastAsia="宋体" w:hAnsi="Times New Roman" w:cs="Times New Roman" w:hint="eastAsia"/>
          <w:bCs/>
          <w:color w:val="000000" w:themeColor="text1"/>
          <w:kern w:val="0"/>
          <w:sz w:val="24"/>
          <w:szCs w:val="24"/>
        </w:rPr>
        <w:t>如下</w:t>
      </w:r>
      <w:r w:rsidR="009E3B91" w:rsidRPr="00847DB6">
        <w:rPr>
          <w:rFonts w:ascii="Times New Roman" w:eastAsia="宋体" w:hAnsi="Times New Roman" w:cs="Times New Roman" w:hint="eastAsia"/>
          <w:bCs/>
          <w:color w:val="000000" w:themeColor="text1"/>
          <w:kern w:val="0"/>
          <w:sz w:val="24"/>
          <w:szCs w:val="24"/>
        </w:rPr>
        <w:t>：</w:t>
      </w:r>
    </w:p>
    <w:p w14:paraId="316F65A6" w14:textId="77777777" w:rsidR="00847DB6" w:rsidRPr="00847DB6" w:rsidRDefault="00847DB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47DB6">
        <w:rPr>
          <w:rFonts w:ascii="Times New Roman" w:eastAsia="宋体" w:hAnsi="Times New Roman" w:cs="Times New Roman" w:hint="eastAsia"/>
          <w:bCs/>
          <w:color w:val="000000" w:themeColor="text1"/>
          <w:kern w:val="0"/>
          <w:sz w:val="24"/>
          <w:szCs w:val="24"/>
        </w:rPr>
        <w:t>“基金的投资组合应遵循以下限制：</w:t>
      </w:r>
    </w:p>
    <w:p w14:paraId="199B62C1" w14:textId="675BA5C1" w:rsidR="00847DB6" w:rsidRPr="00847DB6" w:rsidRDefault="00847DB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47DB6">
        <w:rPr>
          <w:rFonts w:ascii="Times New Roman" w:eastAsia="宋体" w:hAnsi="Times New Roman" w:cs="Times New Roman" w:hint="eastAsia"/>
          <w:bCs/>
          <w:color w:val="000000" w:themeColor="text1"/>
          <w:kern w:val="0"/>
          <w:sz w:val="24"/>
          <w:szCs w:val="24"/>
        </w:rPr>
        <w:t>（</w:t>
      </w:r>
      <w:r w:rsidRPr="00847DB6">
        <w:rPr>
          <w:rFonts w:ascii="Times New Roman" w:eastAsia="宋体" w:hAnsi="Times New Roman" w:cs="Times New Roman" w:hint="eastAsia"/>
          <w:bCs/>
          <w:color w:val="000000" w:themeColor="text1"/>
          <w:kern w:val="0"/>
          <w:sz w:val="24"/>
          <w:szCs w:val="24"/>
        </w:rPr>
        <w:t>1</w:t>
      </w:r>
      <w:r w:rsidRPr="00847DB6">
        <w:rPr>
          <w:rFonts w:ascii="Times New Roman" w:eastAsia="宋体" w:hAnsi="Times New Roman" w:cs="Times New Roman" w:hint="eastAsia"/>
          <w:bCs/>
          <w:color w:val="000000" w:themeColor="text1"/>
          <w:kern w:val="0"/>
          <w:sz w:val="24"/>
          <w:szCs w:val="24"/>
        </w:rPr>
        <w:t>）</w:t>
      </w:r>
      <w:r w:rsidR="00430BFD" w:rsidRPr="00430BFD">
        <w:rPr>
          <w:rFonts w:ascii="Times New Roman" w:eastAsia="宋体" w:hAnsi="Times New Roman" w:cs="Times New Roman" w:hint="eastAsia"/>
          <w:bCs/>
          <w:color w:val="000000" w:themeColor="text1"/>
          <w:kern w:val="0"/>
          <w:sz w:val="24"/>
          <w:szCs w:val="24"/>
        </w:rPr>
        <w:t>本基金股票</w:t>
      </w:r>
      <w:r w:rsidR="00430BFD" w:rsidRPr="00EF5870">
        <w:rPr>
          <w:rFonts w:ascii="Times New Roman" w:eastAsia="宋体" w:hAnsi="Times New Roman" w:cs="Times New Roman" w:hint="eastAsia"/>
          <w:b/>
          <w:bCs/>
          <w:color w:val="000000" w:themeColor="text1"/>
          <w:kern w:val="0"/>
          <w:sz w:val="24"/>
          <w:szCs w:val="24"/>
        </w:rPr>
        <w:t>（含存托凭证）</w:t>
      </w:r>
      <w:r w:rsidR="00430BFD" w:rsidRPr="00430BFD">
        <w:rPr>
          <w:rFonts w:ascii="Times New Roman" w:eastAsia="宋体" w:hAnsi="Times New Roman" w:cs="Times New Roman" w:hint="eastAsia"/>
          <w:bCs/>
          <w:color w:val="000000" w:themeColor="text1"/>
          <w:kern w:val="0"/>
          <w:sz w:val="24"/>
          <w:szCs w:val="24"/>
        </w:rPr>
        <w:t>投资占基金资产的比例为</w:t>
      </w:r>
      <w:r w:rsidR="00430BFD" w:rsidRPr="00430BFD">
        <w:rPr>
          <w:rFonts w:ascii="Times New Roman" w:eastAsia="宋体" w:hAnsi="Times New Roman" w:cs="Times New Roman" w:hint="eastAsia"/>
          <w:bCs/>
          <w:color w:val="000000" w:themeColor="text1"/>
          <w:kern w:val="0"/>
          <w:sz w:val="24"/>
          <w:szCs w:val="24"/>
        </w:rPr>
        <w:t>80%</w:t>
      </w:r>
      <w:r w:rsidR="00430BFD" w:rsidRPr="00430BFD">
        <w:rPr>
          <w:rFonts w:ascii="Times New Roman" w:eastAsia="宋体" w:hAnsi="Times New Roman" w:cs="Times New Roman" w:hint="eastAsia"/>
          <w:bCs/>
          <w:color w:val="000000" w:themeColor="text1"/>
          <w:kern w:val="0"/>
          <w:sz w:val="24"/>
          <w:szCs w:val="24"/>
        </w:rPr>
        <w:t>–</w:t>
      </w:r>
      <w:r w:rsidR="00430BFD" w:rsidRPr="00430BFD">
        <w:rPr>
          <w:rFonts w:ascii="Times New Roman" w:eastAsia="宋体" w:hAnsi="Times New Roman" w:cs="Times New Roman" w:hint="eastAsia"/>
          <w:bCs/>
          <w:color w:val="000000" w:themeColor="text1"/>
          <w:kern w:val="0"/>
          <w:sz w:val="24"/>
          <w:szCs w:val="24"/>
        </w:rPr>
        <w:t>95%</w:t>
      </w:r>
      <w:r w:rsidR="00430BFD" w:rsidRPr="00430BFD">
        <w:rPr>
          <w:rFonts w:ascii="Times New Roman" w:eastAsia="宋体" w:hAnsi="Times New Roman" w:cs="Times New Roman" w:hint="eastAsia"/>
          <w:bCs/>
          <w:color w:val="000000" w:themeColor="text1"/>
          <w:kern w:val="0"/>
          <w:sz w:val="24"/>
          <w:szCs w:val="24"/>
        </w:rPr>
        <w:t>（其中投资于港股通标的股票的比例占股票资产的</w:t>
      </w:r>
      <w:r w:rsidR="00430BFD" w:rsidRPr="00430BFD">
        <w:rPr>
          <w:rFonts w:ascii="Times New Roman" w:eastAsia="宋体" w:hAnsi="Times New Roman" w:cs="Times New Roman" w:hint="eastAsia"/>
          <w:bCs/>
          <w:color w:val="000000" w:themeColor="text1"/>
          <w:kern w:val="0"/>
          <w:sz w:val="24"/>
          <w:szCs w:val="24"/>
        </w:rPr>
        <w:t>0-50%</w:t>
      </w:r>
      <w:r w:rsidR="00430BFD" w:rsidRPr="00430BFD">
        <w:rPr>
          <w:rFonts w:ascii="Times New Roman" w:eastAsia="宋体" w:hAnsi="Times New Roman" w:cs="Times New Roman" w:hint="eastAsia"/>
          <w:bCs/>
          <w:color w:val="000000" w:themeColor="text1"/>
          <w:kern w:val="0"/>
          <w:sz w:val="24"/>
          <w:szCs w:val="24"/>
        </w:rPr>
        <w:t>），其中投资于消费行业证券的比例不低于非现金基金资产的</w:t>
      </w:r>
      <w:r w:rsidR="00430BFD" w:rsidRPr="00430BFD">
        <w:rPr>
          <w:rFonts w:ascii="Times New Roman" w:eastAsia="宋体" w:hAnsi="Times New Roman" w:cs="Times New Roman" w:hint="eastAsia"/>
          <w:bCs/>
          <w:color w:val="000000" w:themeColor="text1"/>
          <w:kern w:val="0"/>
          <w:sz w:val="24"/>
          <w:szCs w:val="24"/>
        </w:rPr>
        <w:t>80%</w:t>
      </w:r>
      <w:r w:rsidR="00430BFD" w:rsidRPr="00430BFD">
        <w:rPr>
          <w:rFonts w:ascii="Times New Roman" w:eastAsia="宋体" w:hAnsi="Times New Roman" w:cs="Times New Roman" w:hint="eastAsia"/>
          <w:bCs/>
          <w:color w:val="000000" w:themeColor="text1"/>
          <w:kern w:val="0"/>
          <w:sz w:val="24"/>
          <w:szCs w:val="24"/>
        </w:rPr>
        <w:t>；</w:t>
      </w:r>
    </w:p>
    <w:p w14:paraId="79284A98" w14:textId="77777777" w:rsidR="00847DB6" w:rsidRPr="00847DB6" w:rsidRDefault="00847DB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47DB6">
        <w:rPr>
          <w:rFonts w:ascii="Times New Roman" w:eastAsia="宋体" w:hAnsi="Times New Roman" w:cs="Times New Roman" w:hint="eastAsia"/>
          <w:bCs/>
          <w:color w:val="000000" w:themeColor="text1"/>
          <w:kern w:val="0"/>
          <w:sz w:val="24"/>
          <w:szCs w:val="24"/>
        </w:rPr>
        <w:lastRenderedPageBreak/>
        <w:t>……</w:t>
      </w:r>
    </w:p>
    <w:p w14:paraId="19C2AA2C" w14:textId="38F47273" w:rsidR="00847DB6" w:rsidRPr="00847DB6" w:rsidRDefault="00F32586" w:rsidP="00EF5870">
      <w:pPr>
        <w:widowControl/>
        <w:spacing w:beforeLines="50" w:before="120" w:afterLines="50" w:after="120" w:line="360" w:lineRule="auto"/>
        <w:ind w:firstLineChars="200" w:firstLine="482"/>
        <w:outlineLvl w:val="5"/>
        <w:rPr>
          <w:rFonts w:ascii="Times New Roman" w:eastAsia="宋体" w:hAnsi="Times New Roman" w:cs="Times New Roman"/>
          <w:bCs/>
          <w:color w:val="000000" w:themeColor="text1"/>
          <w:kern w:val="0"/>
          <w:sz w:val="24"/>
          <w:szCs w:val="24"/>
        </w:rPr>
      </w:pPr>
      <w:r w:rsidRPr="00EF5870">
        <w:rPr>
          <w:rFonts w:ascii="Times New Roman" w:eastAsia="宋体" w:hAnsi="Times New Roman" w:cs="Times New Roman" w:hint="eastAsia"/>
          <w:b/>
          <w:bCs/>
          <w:color w:val="000000" w:themeColor="text1"/>
          <w:kern w:val="0"/>
          <w:sz w:val="24"/>
          <w:szCs w:val="24"/>
        </w:rPr>
        <w:t>（</w:t>
      </w:r>
      <w:r w:rsidRPr="00EF5870">
        <w:rPr>
          <w:rFonts w:ascii="Times New Roman" w:eastAsia="宋体" w:hAnsi="Times New Roman" w:cs="Times New Roman"/>
          <w:b/>
          <w:bCs/>
          <w:color w:val="000000" w:themeColor="text1"/>
          <w:kern w:val="0"/>
          <w:sz w:val="24"/>
          <w:szCs w:val="24"/>
        </w:rPr>
        <w:t>17</w:t>
      </w:r>
      <w:r w:rsidRPr="00EF5870">
        <w:rPr>
          <w:rFonts w:ascii="Times New Roman" w:eastAsia="宋体" w:hAnsi="Times New Roman" w:cs="Times New Roman" w:hint="eastAsia"/>
          <w:b/>
          <w:bCs/>
          <w:color w:val="000000" w:themeColor="text1"/>
          <w:kern w:val="0"/>
          <w:sz w:val="24"/>
          <w:szCs w:val="24"/>
        </w:rPr>
        <w:t>）本基金投资存托凭证的比例限制依照境内上市交易的股票执行</w:t>
      </w:r>
      <w:r w:rsidRPr="00F32586">
        <w:rPr>
          <w:rFonts w:ascii="Times New Roman" w:eastAsia="宋体" w:hAnsi="Times New Roman" w:cs="Times New Roman" w:hint="eastAsia"/>
          <w:bCs/>
          <w:color w:val="000000" w:themeColor="text1"/>
          <w:kern w:val="0"/>
          <w:sz w:val="24"/>
          <w:szCs w:val="24"/>
        </w:rPr>
        <w:t>；</w:t>
      </w:r>
    </w:p>
    <w:p w14:paraId="5C0724B0" w14:textId="14D767B8" w:rsidR="00847DB6" w:rsidRPr="00847DB6" w:rsidRDefault="004C516F" w:rsidP="004C516F">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47DB6">
        <w:rPr>
          <w:rFonts w:ascii="Times New Roman" w:eastAsia="宋体" w:hAnsi="Times New Roman" w:cs="Times New Roman" w:hint="eastAsia"/>
          <w:bCs/>
          <w:color w:val="000000" w:themeColor="text1"/>
          <w:kern w:val="0"/>
          <w:sz w:val="24"/>
          <w:szCs w:val="24"/>
        </w:rPr>
        <w:t>……</w:t>
      </w:r>
      <w:r w:rsidR="00847DB6" w:rsidRPr="00847DB6">
        <w:rPr>
          <w:rFonts w:ascii="Times New Roman" w:eastAsia="宋体" w:hAnsi="Times New Roman" w:cs="Times New Roman" w:hint="eastAsia"/>
          <w:bCs/>
          <w:color w:val="000000" w:themeColor="text1"/>
          <w:kern w:val="0"/>
          <w:sz w:val="24"/>
          <w:szCs w:val="24"/>
        </w:rPr>
        <w:t>”</w:t>
      </w:r>
    </w:p>
    <w:p w14:paraId="19175173" w14:textId="77777777" w:rsidR="00847DB6" w:rsidRPr="00847DB6" w:rsidRDefault="00847DB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47DB6">
        <w:rPr>
          <w:rFonts w:ascii="Times New Roman" w:eastAsia="宋体" w:hAnsi="Times New Roman" w:cs="Times New Roman" w:hint="eastAsia"/>
          <w:bCs/>
          <w:color w:val="000000" w:themeColor="text1"/>
          <w:kern w:val="0"/>
          <w:sz w:val="24"/>
          <w:szCs w:val="24"/>
        </w:rPr>
        <w:t>（三）在“基金资产估值”部分的“估值方法”中增加存托凭证估值方法描述</w:t>
      </w:r>
    </w:p>
    <w:p w14:paraId="2E9C76A1" w14:textId="2F6372CF" w:rsidR="00847DB6" w:rsidRPr="00BB506C" w:rsidRDefault="00847DB6" w:rsidP="00BB506C">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BB506C">
        <w:rPr>
          <w:rFonts w:ascii="Times New Roman" w:eastAsia="宋体" w:hAnsi="Times New Roman" w:cs="Times New Roman" w:hint="eastAsia"/>
          <w:b/>
          <w:bCs/>
          <w:color w:val="000000" w:themeColor="text1"/>
          <w:kern w:val="0"/>
          <w:sz w:val="24"/>
          <w:szCs w:val="24"/>
        </w:rPr>
        <w:t>“本基金投资存托凭证的估值核算依照境内上市交易的股票执行。”</w:t>
      </w:r>
    </w:p>
    <w:p w14:paraId="437FCDC3" w14:textId="77777777" w:rsidR="00847DB6" w:rsidRPr="00847DB6" w:rsidRDefault="00847DB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47DB6">
        <w:rPr>
          <w:rFonts w:ascii="Times New Roman" w:eastAsia="宋体" w:hAnsi="Times New Roman" w:cs="Times New Roman" w:hint="eastAsia"/>
          <w:bCs/>
          <w:color w:val="000000" w:themeColor="text1"/>
          <w:kern w:val="0"/>
          <w:sz w:val="24"/>
          <w:szCs w:val="24"/>
        </w:rPr>
        <w:t>（四）在基金招募说明书</w:t>
      </w:r>
      <w:r w:rsidR="00B417D9" w:rsidRPr="00B417D9">
        <w:rPr>
          <w:rFonts w:ascii="Times New Roman" w:eastAsia="宋体" w:hAnsi="Times New Roman" w:cs="Times New Roman" w:hint="eastAsia"/>
          <w:bCs/>
          <w:color w:val="000000" w:themeColor="text1"/>
          <w:kern w:val="0"/>
          <w:sz w:val="24"/>
          <w:szCs w:val="24"/>
        </w:rPr>
        <w:t>（更新）</w:t>
      </w:r>
      <w:r w:rsidRPr="00847DB6">
        <w:rPr>
          <w:rFonts w:ascii="Times New Roman" w:eastAsia="宋体" w:hAnsi="Times New Roman" w:cs="Times New Roman" w:hint="eastAsia"/>
          <w:bCs/>
          <w:color w:val="000000" w:themeColor="text1"/>
          <w:kern w:val="0"/>
          <w:sz w:val="24"/>
          <w:szCs w:val="24"/>
        </w:rPr>
        <w:t>的“重要提示”和“风险揭示”部分增加投资存托凭证的风险揭示</w:t>
      </w:r>
    </w:p>
    <w:p w14:paraId="1905926D" w14:textId="77777777" w:rsidR="00847DB6" w:rsidRPr="00847DB6" w:rsidRDefault="00847DB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47DB6">
        <w:rPr>
          <w:rFonts w:ascii="Times New Roman" w:eastAsia="宋体" w:hAnsi="Times New Roman" w:cs="Times New Roman" w:hint="eastAsia"/>
          <w:bCs/>
          <w:color w:val="000000" w:themeColor="text1"/>
          <w:kern w:val="0"/>
          <w:sz w:val="24"/>
          <w:szCs w:val="24"/>
        </w:rPr>
        <w:t>1</w:t>
      </w:r>
      <w:r w:rsidRPr="00847DB6">
        <w:rPr>
          <w:rFonts w:ascii="Times New Roman" w:eastAsia="宋体" w:hAnsi="Times New Roman" w:cs="Times New Roman" w:hint="eastAsia"/>
          <w:bCs/>
          <w:color w:val="000000" w:themeColor="text1"/>
          <w:kern w:val="0"/>
          <w:sz w:val="24"/>
          <w:szCs w:val="24"/>
        </w:rPr>
        <w:t>、在“重要提示”部分增加投资存托凭证的风险揭示描述如下：</w:t>
      </w:r>
    </w:p>
    <w:p w14:paraId="05CF183F" w14:textId="02014674" w:rsidR="00847DB6" w:rsidRPr="00BB506C" w:rsidRDefault="00847DB6" w:rsidP="00BB506C">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BB506C">
        <w:rPr>
          <w:rFonts w:ascii="Times New Roman" w:eastAsia="宋体" w:hAnsi="Times New Roman" w:cs="Times New Roman" w:hint="eastAsia"/>
          <w:b/>
          <w:bCs/>
          <w:color w:val="000000" w:themeColor="text1"/>
          <w:kern w:val="0"/>
          <w:sz w:val="24"/>
          <w:szCs w:val="24"/>
        </w:rPr>
        <w:t>“本基金的投资范围包括存托凭证，面临存托凭证价格大幅波动甚至出现较大亏损的风险、与存托凭证发行机制相关的风险等。”</w:t>
      </w:r>
    </w:p>
    <w:p w14:paraId="74E1E8A6" w14:textId="77777777" w:rsidR="00847DB6" w:rsidRPr="00847DB6" w:rsidRDefault="00847DB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47DB6">
        <w:rPr>
          <w:rFonts w:ascii="Times New Roman" w:eastAsia="宋体" w:hAnsi="Times New Roman" w:cs="Times New Roman" w:hint="eastAsia"/>
          <w:bCs/>
          <w:color w:val="000000" w:themeColor="text1"/>
          <w:kern w:val="0"/>
          <w:sz w:val="24"/>
          <w:szCs w:val="24"/>
        </w:rPr>
        <w:t>2</w:t>
      </w:r>
      <w:r w:rsidRPr="00847DB6">
        <w:rPr>
          <w:rFonts w:ascii="Times New Roman" w:eastAsia="宋体" w:hAnsi="Times New Roman" w:cs="Times New Roman" w:hint="eastAsia"/>
          <w:bCs/>
          <w:color w:val="000000" w:themeColor="text1"/>
          <w:kern w:val="0"/>
          <w:sz w:val="24"/>
          <w:szCs w:val="24"/>
        </w:rPr>
        <w:t>、在“风险揭示”部分增加投资存托凭证的风险揭示描述如下：</w:t>
      </w:r>
    </w:p>
    <w:p w14:paraId="19A71840" w14:textId="246C7355" w:rsidR="00847DB6" w:rsidRPr="00BB506C" w:rsidRDefault="00847DB6" w:rsidP="00BB506C">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BB506C">
        <w:rPr>
          <w:rFonts w:ascii="Times New Roman" w:eastAsia="宋体" w:hAnsi="Times New Roman" w:cs="Times New Roman" w:hint="eastAsia"/>
          <w:b/>
          <w:bCs/>
          <w:color w:val="000000" w:themeColor="text1"/>
          <w:kern w:val="0"/>
          <w:sz w:val="24"/>
          <w:szCs w:val="24"/>
        </w:rPr>
        <w:t>“投资存托凭证的风险</w:t>
      </w:r>
    </w:p>
    <w:p w14:paraId="3A5A111D" w14:textId="77777777" w:rsidR="00847DB6" w:rsidRPr="00BB506C" w:rsidRDefault="00847DB6" w:rsidP="00BB506C">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BB506C">
        <w:rPr>
          <w:rFonts w:ascii="Times New Roman" w:eastAsia="宋体" w:hAnsi="Times New Roman" w:cs="Times New Roman" w:hint="eastAsia"/>
          <w:b/>
          <w:bCs/>
          <w:color w:val="000000" w:themeColor="text1"/>
          <w:kern w:val="0"/>
          <w:sz w:val="24"/>
          <w:szCs w:val="24"/>
        </w:rPr>
        <w:t>（</w:t>
      </w:r>
      <w:r w:rsidRPr="00BB506C">
        <w:rPr>
          <w:rFonts w:ascii="Times New Roman" w:eastAsia="宋体" w:hAnsi="Times New Roman" w:cs="Times New Roman"/>
          <w:b/>
          <w:bCs/>
          <w:color w:val="000000" w:themeColor="text1"/>
          <w:kern w:val="0"/>
          <w:sz w:val="24"/>
          <w:szCs w:val="24"/>
        </w:rPr>
        <w:t>1</w:t>
      </w:r>
      <w:r w:rsidRPr="00BB506C">
        <w:rPr>
          <w:rFonts w:ascii="Times New Roman" w:eastAsia="宋体" w:hAnsi="Times New Roman" w:cs="Times New Roman" w:hint="eastAsia"/>
          <w:b/>
          <w:bCs/>
          <w:color w:val="000000" w:themeColor="text1"/>
          <w:kern w:val="0"/>
          <w:sz w:val="24"/>
          <w:szCs w:val="24"/>
        </w:rPr>
        <w:t>）存托凭证市场价格大幅波动的风险</w:t>
      </w:r>
    </w:p>
    <w:p w14:paraId="2C4F526A" w14:textId="77777777" w:rsidR="00847DB6" w:rsidRPr="00BB506C" w:rsidRDefault="00847DB6" w:rsidP="00BB506C">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BB506C">
        <w:rPr>
          <w:rFonts w:ascii="Times New Roman" w:eastAsia="宋体" w:hAnsi="Times New Roman" w:cs="Times New Roman" w:hint="eastAsia"/>
          <w:b/>
          <w:bCs/>
          <w:color w:val="000000" w:themeColor="text1"/>
          <w:kern w:val="0"/>
          <w:sz w:val="24"/>
          <w:szCs w:val="24"/>
        </w:rPr>
        <w:t>存托凭证的交易框架中涉及发行人、存托人、托管人等多个法律主体，其交易结构及原理与股票相比更为复杂。存托凭证属于市场创新产品，中国境内资本市场尚无先例，其未来的交易活跃程度、价格决定机制、投资者关注度等均存在较大的不确定性。因此，存托凭证的交易价格可能存在大幅波动的风险。</w:t>
      </w:r>
    </w:p>
    <w:p w14:paraId="7A196DEB" w14:textId="77777777" w:rsidR="00847DB6" w:rsidRPr="00BB506C" w:rsidRDefault="00847DB6" w:rsidP="00BB506C">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BB506C">
        <w:rPr>
          <w:rFonts w:ascii="Times New Roman" w:eastAsia="宋体" w:hAnsi="Times New Roman" w:cs="Times New Roman" w:hint="eastAsia"/>
          <w:b/>
          <w:bCs/>
          <w:color w:val="000000" w:themeColor="text1"/>
          <w:kern w:val="0"/>
          <w:sz w:val="24"/>
          <w:szCs w:val="24"/>
        </w:rPr>
        <w:t>（</w:t>
      </w:r>
      <w:r w:rsidRPr="00BB506C">
        <w:rPr>
          <w:rFonts w:ascii="Times New Roman" w:eastAsia="宋体" w:hAnsi="Times New Roman" w:cs="Times New Roman"/>
          <w:b/>
          <w:bCs/>
          <w:color w:val="000000" w:themeColor="text1"/>
          <w:kern w:val="0"/>
          <w:sz w:val="24"/>
          <w:szCs w:val="24"/>
        </w:rPr>
        <w:t>2</w:t>
      </w:r>
      <w:r w:rsidRPr="00BB506C">
        <w:rPr>
          <w:rFonts w:ascii="Times New Roman" w:eastAsia="宋体" w:hAnsi="Times New Roman" w:cs="Times New Roman" w:hint="eastAsia"/>
          <w:b/>
          <w:bCs/>
          <w:color w:val="000000" w:themeColor="text1"/>
          <w:kern w:val="0"/>
          <w:sz w:val="24"/>
          <w:szCs w:val="24"/>
        </w:rPr>
        <w:t>）存托凭证持有人与境外基础证券持有人的权益存在差异可能引发的风险</w:t>
      </w:r>
    </w:p>
    <w:p w14:paraId="3C9AC02A" w14:textId="77777777" w:rsidR="00847DB6" w:rsidRPr="00BB506C" w:rsidRDefault="00847DB6" w:rsidP="00BB506C">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BB506C">
        <w:rPr>
          <w:rFonts w:ascii="Times New Roman" w:eastAsia="宋体" w:hAnsi="Times New Roman" w:cs="Times New Roman" w:hint="eastAsia"/>
          <w:b/>
          <w:bCs/>
          <w:color w:val="000000" w:themeColor="text1"/>
          <w:kern w:val="0"/>
          <w:sz w:val="24"/>
          <w:szCs w:val="24"/>
        </w:rPr>
        <w:t>存托凭证由存托人签发、以境外证券为基础在中国境内发行，代表境外基础证券权益。存托凭证持有人实际享有的权益与境外基础证券持有人的权益虽然基本相当，但并不能等同于直接持有境外基础证券。</w:t>
      </w:r>
    </w:p>
    <w:p w14:paraId="17CAE566" w14:textId="15383902" w:rsidR="00847DB6" w:rsidRPr="00BB506C" w:rsidRDefault="00847DB6" w:rsidP="00BB506C">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BB506C">
        <w:rPr>
          <w:rFonts w:ascii="Times New Roman" w:eastAsia="宋体" w:hAnsi="Times New Roman" w:cs="Times New Roman" w:hint="eastAsia"/>
          <w:b/>
          <w:bCs/>
          <w:color w:val="000000" w:themeColor="text1"/>
          <w:kern w:val="0"/>
          <w:sz w:val="24"/>
          <w:szCs w:val="24"/>
        </w:rPr>
        <w:t>（</w:t>
      </w:r>
      <w:r w:rsidRPr="00BB506C">
        <w:rPr>
          <w:rFonts w:ascii="Times New Roman" w:eastAsia="宋体" w:hAnsi="Times New Roman" w:cs="Times New Roman"/>
          <w:b/>
          <w:bCs/>
          <w:color w:val="000000" w:themeColor="text1"/>
          <w:kern w:val="0"/>
          <w:sz w:val="24"/>
          <w:szCs w:val="24"/>
        </w:rPr>
        <w:t>3</w:t>
      </w:r>
      <w:r w:rsidRPr="00BB506C">
        <w:rPr>
          <w:rFonts w:ascii="Times New Roman" w:eastAsia="宋体" w:hAnsi="Times New Roman" w:cs="Times New Roman" w:hint="eastAsia"/>
          <w:b/>
          <w:bCs/>
          <w:color w:val="000000" w:themeColor="text1"/>
          <w:kern w:val="0"/>
          <w:sz w:val="24"/>
          <w:szCs w:val="24"/>
        </w:rPr>
        <w:t>）存托凭证存续期间的风险</w:t>
      </w:r>
    </w:p>
    <w:p w14:paraId="5DCF413C" w14:textId="77777777" w:rsidR="00847DB6" w:rsidRPr="00BB506C" w:rsidRDefault="00847DB6" w:rsidP="00BB506C">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BB506C">
        <w:rPr>
          <w:rFonts w:ascii="Times New Roman" w:eastAsia="宋体" w:hAnsi="Times New Roman" w:cs="Times New Roman" w:hint="eastAsia"/>
          <w:b/>
          <w:bCs/>
          <w:color w:val="000000" w:themeColor="text1"/>
          <w:kern w:val="0"/>
          <w:sz w:val="24"/>
          <w:szCs w:val="24"/>
        </w:rPr>
        <w:t>存托凭证存续期间，存托凭证项目内容可能发生重大、实质变化，包括但不限于存托凭证与基础证券转换比例发生调整、红筹公司和存托人可能对存托协议作出</w:t>
      </w:r>
      <w:r w:rsidRPr="00BB506C">
        <w:rPr>
          <w:rFonts w:ascii="Times New Roman" w:eastAsia="宋体" w:hAnsi="Times New Roman" w:cs="Times New Roman" w:hint="eastAsia"/>
          <w:b/>
          <w:bCs/>
          <w:color w:val="000000" w:themeColor="text1"/>
          <w:kern w:val="0"/>
          <w:sz w:val="24"/>
          <w:szCs w:val="24"/>
        </w:rPr>
        <w:lastRenderedPageBreak/>
        <w:t>修改、更换存托人、更换托管人、存托凭证主动退市等。部分变化可能仅以事先通知的方式，即对其投资者生效。存托凭证的投资者可能无法对此行使表决权。</w:t>
      </w:r>
    </w:p>
    <w:p w14:paraId="73068A10" w14:textId="77777777" w:rsidR="00847DB6" w:rsidRPr="00BB506C" w:rsidRDefault="00847DB6" w:rsidP="00BB506C">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BB506C">
        <w:rPr>
          <w:rFonts w:ascii="Times New Roman" w:eastAsia="宋体" w:hAnsi="Times New Roman" w:cs="Times New Roman" w:hint="eastAsia"/>
          <w:b/>
          <w:bCs/>
          <w:color w:val="000000" w:themeColor="text1"/>
          <w:kern w:val="0"/>
          <w:sz w:val="24"/>
          <w:szCs w:val="24"/>
        </w:rPr>
        <w:t>存托凭证存续期间，对应的基础证券等财产可能出现被质押、挪用、司法冻结、强制执行等情形，存托凭证的投资者可能失去应有权利的风险。</w:t>
      </w:r>
    </w:p>
    <w:p w14:paraId="5CEB7DE6" w14:textId="77777777" w:rsidR="00847DB6" w:rsidRPr="00BB506C" w:rsidRDefault="00847DB6" w:rsidP="00BB506C">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BB506C">
        <w:rPr>
          <w:rFonts w:ascii="Times New Roman" w:eastAsia="宋体" w:hAnsi="Times New Roman" w:cs="Times New Roman" w:hint="eastAsia"/>
          <w:b/>
          <w:bCs/>
          <w:color w:val="000000" w:themeColor="text1"/>
          <w:kern w:val="0"/>
          <w:sz w:val="24"/>
          <w:szCs w:val="24"/>
        </w:rPr>
        <w:t>（</w:t>
      </w:r>
      <w:r w:rsidRPr="00BB506C">
        <w:rPr>
          <w:rFonts w:ascii="Times New Roman" w:eastAsia="宋体" w:hAnsi="Times New Roman" w:cs="Times New Roman"/>
          <w:b/>
          <w:bCs/>
          <w:color w:val="000000" w:themeColor="text1"/>
          <w:kern w:val="0"/>
          <w:sz w:val="24"/>
          <w:szCs w:val="24"/>
        </w:rPr>
        <w:t>4</w:t>
      </w:r>
      <w:r w:rsidRPr="00BB506C">
        <w:rPr>
          <w:rFonts w:ascii="Times New Roman" w:eastAsia="宋体" w:hAnsi="Times New Roman" w:cs="Times New Roman" w:hint="eastAsia"/>
          <w:b/>
          <w:bCs/>
          <w:color w:val="000000" w:themeColor="text1"/>
          <w:kern w:val="0"/>
          <w:sz w:val="24"/>
          <w:szCs w:val="24"/>
        </w:rPr>
        <w:t>）退市风险</w:t>
      </w:r>
    </w:p>
    <w:p w14:paraId="5149C495" w14:textId="77777777" w:rsidR="00847DB6" w:rsidRPr="00BB506C" w:rsidRDefault="00847DB6" w:rsidP="00BB506C">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BB506C">
        <w:rPr>
          <w:rFonts w:ascii="Times New Roman" w:eastAsia="宋体" w:hAnsi="Times New Roman" w:cs="Times New Roman" w:hint="eastAsia"/>
          <w:b/>
          <w:bCs/>
          <w:color w:val="000000" w:themeColor="text1"/>
          <w:kern w:val="0"/>
          <w:sz w:val="24"/>
          <w:szCs w:val="24"/>
        </w:rPr>
        <w:t>存托凭证退市的，可能面临存托人无法根据存托协议的约定卖出基础证券，存托凭证无法转到境内其他市场进行公开交易或者转让，存托人无法继续按照存托协议的约定为投资者提供相应服务的风险。</w:t>
      </w:r>
    </w:p>
    <w:p w14:paraId="160774C7" w14:textId="77777777" w:rsidR="00847DB6" w:rsidRPr="00BB506C" w:rsidRDefault="00847DB6" w:rsidP="00BB506C">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BB506C">
        <w:rPr>
          <w:rFonts w:ascii="Times New Roman" w:eastAsia="宋体" w:hAnsi="Times New Roman" w:cs="Times New Roman" w:hint="eastAsia"/>
          <w:b/>
          <w:bCs/>
          <w:color w:val="000000" w:themeColor="text1"/>
          <w:kern w:val="0"/>
          <w:sz w:val="24"/>
          <w:szCs w:val="24"/>
        </w:rPr>
        <w:t>（</w:t>
      </w:r>
      <w:r w:rsidRPr="00BB506C">
        <w:rPr>
          <w:rFonts w:ascii="Times New Roman" w:eastAsia="宋体" w:hAnsi="Times New Roman" w:cs="Times New Roman"/>
          <w:b/>
          <w:bCs/>
          <w:color w:val="000000" w:themeColor="text1"/>
          <w:kern w:val="0"/>
          <w:sz w:val="24"/>
          <w:szCs w:val="24"/>
        </w:rPr>
        <w:t>5</w:t>
      </w:r>
      <w:r w:rsidRPr="00BB506C">
        <w:rPr>
          <w:rFonts w:ascii="Times New Roman" w:eastAsia="宋体" w:hAnsi="Times New Roman" w:cs="Times New Roman" w:hint="eastAsia"/>
          <w:b/>
          <w:bCs/>
          <w:color w:val="000000" w:themeColor="text1"/>
          <w:kern w:val="0"/>
          <w:sz w:val="24"/>
          <w:szCs w:val="24"/>
        </w:rPr>
        <w:t>）其他风险</w:t>
      </w:r>
    </w:p>
    <w:p w14:paraId="3717B84E" w14:textId="77777777" w:rsidR="00863123" w:rsidRDefault="00847DB6" w:rsidP="00972DB7">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BB506C">
        <w:rPr>
          <w:rFonts w:ascii="Times New Roman" w:eastAsia="宋体" w:hAnsi="Times New Roman" w:cs="Times New Roman" w:hint="eastAsia"/>
          <w:b/>
          <w:bCs/>
          <w:color w:val="000000" w:themeColor="text1"/>
          <w:kern w:val="0"/>
          <w:sz w:val="24"/>
          <w:szCs w:val="24"/>
        </w:rPr>
        <w:t>存托凭证还存在其他风险，包括但不限于存托凭证持有人在分红派息、行使表决权等方面的特殊安排可能引发的风险；因多地上市造成存托凭证价格差异以及波动的风险；存托凭证持有人权益被摊薄的风险；已在境外上市的基础证券发行人，在持续信息披露监管方面与境内可能存在差异的风险；境内外法律制度、监管环境差异可能导致的其他风险等。”</w:t>
      </w:r>
    </w:p>
    <w:p w14:paraId="24066327" w14:textId="77777777" w:rsidR="00A634EA" w:rsidRDefault="00A634EA" w:rsidP="00BB506C">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Pr>
          <w:rFonts w:ascii="Times New Roman" w:eastAsia="宋体" w:hAnsi="Times New Roman" w:cs="Times New Roman"/>
          <w:b/>
          <w:bCs/>
          <w:color w:val="000000" w:themeColor="text1"/>
          <w:kern w:val="0"/>
          <w:sz w:val="24"/>
          <w:szCs w:val="24"/>
        </w:rPr>
        <w:t>三</w:t>
      </w:r>
      <w:r>
        <w:rPr>
          <w:rFonts w:ascii="Times New Roman" w:eastAsia="宋体" w:hAnsi="Times New Roman" w:cs="Times New Roman" w:hint="eastAsia"/>
          <w:b/>
          <w:bCs/>
          <w:color w:val="000000" w:themeColor="text1"/>
          <w:kern w:val="0"/>
          <w:sz w:val="24"/>
          <w:szCs w:val="24"/>
        </w:rPr>
        <w:t>、</w:t>
      </w:r>
      <w:r>
        <w:rPr>
          <w:rFonts w:ascii="Times New Roman" w:eastAsia="宋体" w:hAnsi="Times New Roman" w:cs="Times New Roman"/>
          <w:b/>
          <w:bCs/>
          <w:color w:val="000000" w:themeColor="text1"/>
          <w:kern w:val="0"/>
          <w:sz w:val="24"/>
          <w:szCs w:val="24"/>
        </w:rPr>
        <w:t>托管协议的修订</w:t>
      </w:r>
    </w:p>
    <w:p w14:paraId="24168857" w14:textId="77777777" w:rsidR="00A634EA" w:rsidRPr="00282C24" w:rsidRDefault="00A634EA" w:rsidP="00972DB7">
      <w:pPr>
        <w:widowControl/>
        <w:spacing w:beforeLines="50" w:before="120" w:afterLines="50" w:after="120" w:line="360" w:lineRule="auto"/>
        <w:ind w:firstLineChars="200" w:firstLine="482"/>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b/>
          <w:bCs/>
          <w:color w:val="000000" w:themeColor="text1"/>
          <w:kern w:val="0"/>
          <w:sz w:val="24"/>
          <w:szCs w:val="24"/>
        </w:rPr>
        <w:t>各基金托管协议中涉及上述相关内容的条款也均进行了相关修订</w:t>
      </w:r>
      <w:r>
        <w:rPr>
          <w:rFonts w:ascii="Times New Roman" w:eastAsia="宋体" w:hAnsi="Times New Roman" w:cs="Times New Roman" w:hint="eastAsia"/>
          <w:b/>
          <w:bCs/>
          <w:color w:val="000000" w:themeColor="text1"/>
          <w:kern w:val="0"/>
          <w:sz w:val="24"/>
          <w:szCs w:val="24"/>
        </w:rPr>
        <w:t>。</w:t>
      </w:r>
    </w:p>
    <w:p w14:paraId="307395AF" w14:textId="2FCD5D84" w:rsidR="00F624E2" w:rsidRDefault="00847DB6" w:rsidP="007E0E8C">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47DB6">
        <w:rPr>
          <w:rFonts w:ascii="Times New Roman" w:eastAsia="宋体" w:hAnsi="Times New Roman" w:cs="Times New Roman" w:hint="eastAsia"/>
          <w:bCs/>
          <w:color w:val="000000" w:themeColor="text1"/>
          <w:kern w:val="0"/>
          <w:sz w:val="24"/>
          <w:szCs w:val="24"/>
        </w:rPr>
        <w:t>因上述修订导致的序号变化顺序调整。</w:t>
      </w:r>
    </w:p>
    <w:p w14:paraId="0F793BCA" w14:textId="5D4216BD" w:rsidR="00847DB6" w:rsidRDefault="00847DB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47DB6">
        <w:rPr>
          <w:rFonts w:ascii="Times New Roman" w:eastAsia="宋体" w:hAnsi="Times New Roman" w:cs="Times New Roman" w:hint="eastAsia"/>
          <w:bCs/>
          <w:color w:val="000000" w:themeColor="text1"/>
          <w:kern w:val="0"/>
          <w:sz w:val="24"/>
          <w:szCs w:val="24"/>
        </w:rPr>
        <w:t>本次修订</w:t>
      </w:r>
      <w:r w:rsidR="000538EE">
        <w:rPr>
          <w:rFonts w:ascii="Times New Roman" w:eastAsia="宋体" w:hAnsi="Times New Roman" w:cs="Times New Roman" w:hint="eastAsia"/>
          <w:bCs/>
          <w:color w:val="000000" w:themeColor="text1"/>
          <w:kern w:val="0"/>
          <w:sz w:val="24"/>
          <w:szCs w:val="24"/>
        </w:rPr>
        <w:t>系根据《存托凭证发行与交易管理办法（试行）》而做出，</w:t>
      </w:r>
      <w:r w:rsidRPr="00847DB6">
        <w:rPr>
          <w:rFonts w:ascii="Times New Roman" w:eastAsia="宋体" w:hAnsi="Times New Roman" w:cs="Times New Roman" w:hint="eastAsia"/>
          <w:bCs/>
          <w:color w:val="000000" w:themeColor="text1"/>
          <w:kern w:val="0"/>
          <w:sz w:val="24"/>
          <w:szCs w:val="24"/>
        </w:rPr>
        <w:t>对基金份额持有人利益无实质性不利影响，并已履行了规定的程序，符合相关法律法规的规定</w:t>
      </w:r>
      <w:r w:rsidR="00057B8A">
        <w:rPr>
          <w:rFonts w:ascii="Times New Roman" w:eastAsia="宋体" w:hAnsi="Times New Roman" w:cs="Times New Roman" w:hint="eastAsia"/>
          <w:bCs/>
          <w:color w:val="000000" w:themeColor="text1"/>
          <w:kern w:val="0"/>
          <w:sz w:val="24"/>
          <w:szCs w:val="24"/>
        </w:rPr>
        <w:t>和各基金基金合同的约定</w:t>
      </w:r>
      <w:r>
        <w:rPr>
          <w:rFonts w:ascii="Times New Roman" w:eastAsia="宋体" w:hAnsi="Times New Roman" w:cs="Times New Roman" w:hint="eastAsia"/>
          <w:bCs/>
          <w:color w:val="000000" w:themeColor="text1"/>
          <w:kern w:val="0"/>
          <w:sz w:val="24"/>
          <w:szCs w:val="24"/>
        </w:rPr>
        <w:t>。</w:t>
      </w:r>
      <w:r w:rsidRPr="00847DB6">
        <w:rPr>
          <w:rFonts w:ascii="Times New Roman" w:eastAsia="宋体" w:hAnsi="Times New Roman" w:cs="Times New Roman" w:hint="eastAsia"/>
          <w:bCs/>
          <w:color w:val="000000" w:themeColor="text1"/>
          <w:kern w:val="0"/>
          <w:sz w:val="24"/>
          <w:szCs w:val="24"/>
        </w:rPr>
        <w:t>投资者可登录基金管理人网站（</w:t>
      </w:r>
      <w:r w:rsidRPr="00847DB6">
        <w:rPr>
          <w:rFonts w:ascii="Times New Roman" w:eastAsia="宋体" w:hAnsi="Times New Roman" w:cs="Times New Roman" w:hint="eastAsia"/>
          <w:bCs/>
          <w:color w:val="000000" w:themeColor="text1"/>
          <w:kern w:val="0"/>
          <w:sz w:val="24"/>
          <w:szCs w:val="24"/>
        </w:rPr>
        <w:t>www.ctfund.com</w:t>
      </w:r>
      <w:r w:rsidRPr="00847DB6">
        <w:rPr>
          <w:rFonts w:ascii="Times New Roman" w:eastAsia="宋体" w:hAnsi="Times New Roman" w:cs="Times New Roman" w:hint="eastAsia"/>
          <w:bCs/>
          <w:color w:val="000000" w:themeColor="text1"/>
          <w:kern w:val="0"/>
          <w:sz w:val="24"/>
          <w:szCs w:val="24"/>
        </w:rPr>
        <w:t>）查阅各基金修订后的基金合同、托管协议</w:t>
      </w:r>
      <w:r w:rsidR="008E5498">
        <w:rPr>
          <w:rFonts w:ascii="Times New Roman" w:eastAsia="宋体" w:hAnsi="Times New Roman" w:cs="Times New Roman" w:hint="eastAsia"/>
          <w:bCs/>
          <w:color w:val="000000" w:themeColor="text1"/>
          <w:kern w:val="0"/>
          <w:sz w:val="24"/>
          <w:szCs w:val="24"/>
        </w:rPr>
        <w:t>、</w:t>
      </w:r>
      <w:r w:rsidRPr="00847DB6">
        <w:rPr>
          <w:rFonts w:ascii="Times New Roman" w:eastAsia="宋体" w:hAnsi="Times New Roman" w:cs="Times New Roman" w:hint="eastAsia"/>
          <w:bCs/>
          <w:color w:val="000000" w:themeColor="text1"/>
          <w:kern w:val="0"/>
          <w:sz w:val="24"/>
          <w:szCs w:val="24"/>
        </w:rPr>
        <w:t>招募说明书（更新）</w:t>
      </w:r>
      <w:r w:rsidR="008E5498">
        <w:rPr>
          <w:rFonts w:ascii="Times New Roman" w:eastAsia="宋体" w:hAnsi="Times New Roman" w:cs="Times New Roman" w:hint="eastAsia"/>
          <w:bCs/>
          <w:color w:val="000000" w:themeColor="text1"/>
          <w:kern w:val="0"/>
          <w:sz w:val="24"/>
          <w:szCs w:val="24"/>
        </w:rPr>
        <w:t>及</w:t>
      </w:r>
      <w:r w:rsidR="00057B8A">
        <w:rPr>
          <w:rFonts w:ascii="Times New Roman" w:eastAsia="宋体" w:hAnsi="Times New Roman" w:cs="Times New Roman" w:hint="eastAsia"/>
          <w:bCs/>
          <w:color w:val="000000" w:themeColor="text1"/>
          <w:kern w:val="0"/>
          <w:sz w:val="24"/>
          <w:szCs w:val="24"/>
        </w:rPr>
        <w:t>基金</w:t>
      </w:r>
      <w:r w:rsidR="008E5498">
        <w:rPr>
          <w:rFonts w:ascii="Times New Roman" w:eastAsia="宋体" w:hAnsi="Times New Roman" w:cs="Times New Roman" w:hint="eastAsia"/>
          <w:bCs/>
          <w:color w:val="000000" w:themeColor="text1"/>
          <w:kern w:val="0"/>
          <w:sz w:val="24"/>
          <w:szCs w:val="24"/>
        </w:rPr>
        <w:t>产品资料概要等法律文件</w:t>
      </w:r>
      <w:r w:rsidRPr="00847DB6">
        <w:rPr>
          <w:rFonts w:ascii="Times New Roman" w:eastAsia="宋体" w:hAnsi="Times New Roman" w:cs="Times New Roman" w:hint="eastAsia"/>
          <w:bCs/>
          <w:color w:val="000000" w:themeColor="text1"/>
          <w:kern w:val="0"/>
          <w:sz w:val="24"/>
          <w:szCs w:val="24"/>
        </w:rPr>
        <w:t>。</w:t>
      </w:r>
    </w:p>
    <w:p w14:paraId="38F7611E" w14:textId="77777777" w:rsidR="00847DB6" w:rsidRPr="00BB506C" w:rsidRDefault="00847DB6" w:rsidP="00BB506C">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BB506C">
        <w:rPr>
          <w:rFonts w:ascii="Times New Roman" w:eastAsia="宋体" w:hAnsi="Times New Roman" w:cs="Times New Roman" w:hint="eastAsia"/>
          <w:b/>
          <w:bCs/>
          <w:color w:val="000000" w:themeColor="text1"/>
          <w:kern w:val="0"/>
          <w:sz w:val="24"/>
          <w:szCs w:val="24"/>
        </w:rPr>
        <w:t>风险提示</w:t>
      </w:r>
    </w:p>
    <w:p w14:paraId="0555803D" w14:textId="77777777" w:rsidR="00847DB6" w:rsidRDefault="00847DB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847DB6">
        <w:rPr>
          <w:rFonts w:ascii="Times New Roman" w:eastAsia="宋体" w:hAnsi="Times New Roman" w:cs="Times New Roman" w:hint="eastAsia"/>
          <w:bCs/>
          <w:color w:val="000000" w:themeColor="text1"/>
          <w:kern w:val="0"/>
          <w:sz w:val="24"/>
          <w:szCs w:val="24"/>
        </w:rPr>
        <w:t>基金管理人承诺以诚实信用、勤勉尽责的原则管理和运用基金资产，但不保证基金一定盈利，也不保证最低收益。基金的过往业绩及其净值高低并不预示其未来</w:t>
      </w:r>
      <w:r w:rsidRPr="00847DB6">
        <w:rPr>
          <w:rFonts w:ascii="Times New Roman" w:eastAsia="宋体" w:hAnsi="Times New Roman" w:cs="Times New Roman" w:hint="eastAsia"/>
          <w:bCs/>
          <w:color w:val="000000" w:themeColor="text1"/>
          <w:kern w:val="0"/>
          <w:sz w:val="24"/>
          <w:szCs w:val="24"/>
        </w:rPr>
        <w:lastRenderedPageBreak/>
        <w:t>业绩表现。基金管理人提醒投资者基金投资的“买者自负”原则，在做出投资决策后，基金运营状况与基金净值变化引致的投资风险，由投资者自行负担。投资者在投资基金之前，请仔细阅读基金的产品资料概要、招募说明书和基金合同，全面认识基金的风险收益特征和产品特性，并充分考虑自身的风险承受能力，在了解产品情况、听取销售机构适当性匹配意见的基础上，理性判断市场，谨慎做出投资决策。基金具体风险评级结果以销售机构提供的评级结果为准。</w:t>
      </w:r>
    </w:p>
    <w:p w14:paraId="3C254A73" w14:textId="77777777" w:rsidR="00230D18" w:rsidRDefault="00BB3501">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82C24">
        <w:rPr>
          <w:rFonts w:ascii="Times New Roman" w:eastAsia="宋体" w:hAnsi="Times New Roman" w:cs="Times New Roman"/>
          <w:bCs/>
          <w:color w:val="000000" w:themeColor="text1"/>
          <w:kern w:val="0"/>
          <w:sz w:val="24"/>
          <w:szCs w:val="24"/>
        </w:rPr>
        <w:t>特此公告。</w:t>
      </w:r>
    </w:p>
    <w:p w14:paraId="530CC513" w14:textId="77777777" w:rsidR="00AC2A17" w:rsidRPr="00282C24" w:rsidRDefault="00AC2A17">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p>
    <w:p w14:paraId="7DA5F0A5" w14:textId="77777777" w:rsidR="00C36A15" w:rsidRPr="00282C24" w:rsidRDefault="00C36A15" w:rsidP="006C5004">
      <w:pPr>
        <w:widowControl/>
        <w:spacing w:after="100" w:afterAutospacing="1"/>
        <w:jc w:val="right"/>
        <w:outlineLvl w:val="5"/>
        <w:rPr>
          <w:rFonts w:ascii="Times New Roman" w:hAnsi="Times New Roman" w:cs="Times New Roman"/>
          <w:bCs/>
          <w:color w:val="000000" w:themeColor="text1"/>
          <w:kern w:val="0"/>
          <w:sz w:val="24"/>
          <w:szCs w:val="24"/>
        </w:rPr>
      </w:pPr>
      <w:r w:rsidRPr="00282C24">
        <w:rPr>
          <w:rFonts w:ascii="Times New Roman" w:hAnsi="Times New Roman" w:cs="Times New Roman"/>
          <w:bCs/>
          <w:color w:val="000000" w:themeColor="text1"/>
          <w:kern w:val="0"/>
          <w:sz w:val="24"/>
          <w:szCs w:val="24"/>
        </w:rPr>
        <w:t>财通基金管理有限公司</w:t>
      </w:r>
    </w:p>
    <w:p w14:paraId="620DE619" w14:textId="148F094D" w:rsidR="00863123" w:rsidRDefault="00232B0A" w:rsidP="006C5004">
      <w:pPr>
        <w:widowControl/>
        <w:wordWrap w:val="0"/>
        <w:spacing w:beforeLines="50" w:before="120" w:afterLines="50" w:after="120" w:line="360" w:lineRule="auto"/>
        <w:ind w:firstLineChars="200" w:firstLine="480"/>
        <w:jc w:val="right"/>
        <w:outlineLvl w:val="5"/>
        <w:rPr>
          <w:rFonts w:ascii="Times New Roman" w:hAnsi="Times New Roman" w:cs="Times New Roman"/>
          <w:bCs/>
          <w:color w:val="000000" w:themeColor="text1"/>
          <w:kern w:val="0"/>
          <w:sz w:val="24"/>
          <w:szCs w:val="24"/>
        </w:rPr>
      </w:pPr>
      <w:r w:rsidRPr="00AC2A17">
        <w:rPr>
          <w:rFonts w:ascii="Times New Roman" w:hAnsi="Times New Roman" w:cs="Times New Roman"/>
          <w:bCs/>
          <w:color w:val="000000" w:themeColor="text1"/>
          <w:kern w:val="0"/>
          <w:sz w:val="24"/>
          <w:szCs w:val="24"/>
        </w:rPr>
        <w:t>二〇</w:t>
      </w:r>
      <w:r w:rsidR="008E5498" w:rsidRPr="00AC2A17">
        <w:rPr>
          <w:rFonts w:ascii="Times New Roman" w:hAnsi="Times New Roman" w:cs="Times New Roman"/>
          <w:bCs/>
          <w:color w:val="000000" w:themeColor="text1"/>
          <w:kern w:val="0"/>
          <w:sz w:val="24"/>
          <w:szCs w:val="24"/>
        </w:rPr>
        <w:t>二</w:t>
      </w:r>
      <w:r w:rsidR="00430BFD" w:rsidRPr="00AC2A17">
        <w:rPr>
          <w:rFonts w:ascii="Times New Roman" w:hAnsi="Times New Roman" w:cs="Times New Roman" w:hint="eastAsia"/>
          <w:bCs/>
          <w:color w:val="000000" w:themeColor="text1"/>
          <w:kern w:val="0"/>
          <w:sz w:val="24"/>
          <w:szCs w:val="24"/>
        </w:rPr>
        <w:t>一</w:t>
      </w:r>
      <w:r w:rsidRPr="00AC2A17">
        <w:rPr>
          <w:rFonts w:ascii="Times New Roman" w:hAnsi="Times New Roman" w:cs="Times New Roman"/>
          <w:bCs/>
          <w:color w:val="000000" w:themeColor="text1"/>
          <w:kern w:val="0"/>
          <w:sz w:val="24"/>
          <w:szCs w:val="24"/>
        </w:rPr>
        <w:t>年</w:t>
      </w:r>
      <w:r w:rsidR="009879AE" w:rsidRPr="00AC2A17">
        <w:rPr>
          <w:rFonts w:ascii="Times New Roman" w:hAnsi="Times New Roman" w:cs="Times New Roman" w:hint="eastAsia"/>
          <w:bCs/>
          <w:color w:val="000000" w:themeColor="text1"/>
          <w:kern w:val="0"/>
          <w:sz w:val="24"/>
          <w:szCs w:val="24"/>
        </w:rPr>
        <w:t>九</w:t>
      </w:r>
      <w:r w:rsidRPr="00AC2A17">
        <w:rPr>
          <w:rFonts w:ascii="Times New Roman" w:hAnsi="Times New Roman" w:cs="Times New Roman"/>
          <w:bCs/>
          <w:color w:val="000000" w:themeColor="text1"/>
          <w:kern w:val="0"/>
          <w:sz w:val="24"/>
          <w:szCs w:val="24"/>
        </w:rPr>
        <w:t>月</w:t>
      </w:r>
      <w:r w:rsidR="009879AE" w:rsidRPr="00AC2A17">
        <w:rPr>
          <w:rFonts w:ascii="Times New Roman" w:hAnsi="Times New Roman" w:cs="Times New Roman" w:hint="eastAsia"/>
          <w:bCs/>
          <w:color w:val="000000" w:themeColor="text1"/>
          <w:kern w:val="0"/>
          <w:sz w:val="24"/>
          <w:szCs w:val="24"/>
        </w:rPr>
        <w:t>二十四</w:t>
      </w:r>
      <w:r w:rsidR="008E5498" w:rsidRPr="00AC2A17">
        <w:rPr>
          <w:rFonts w:ascii="Times New Roman" w:hAnsi="Times New Roman" w:cs="Times New Roman"/>
          <w:bCs/>
          <w:color w:val="000000" w:themeColor="text1"/>
          <w:kern w:val="0"/>
          <w:sz w:val="24"/>
          <w:szCs w:val="24"/>
        </w:rPr>
        <w:t>日</w:t>
      </w:r>
    </w:p>
    <w:p w14:paraId="4A41262C" w14:textId="77777777" w:rsidR="008E5498" w:rsidRPr="00430BFD" w:rsidRDefault="008E5498" w:rsidP="00BB506C">
      <w:pPr>
        <w:widowControl/>
        <w:spacing w:beforeLines="50" w:before="120" w:afterLines="50" w:after="120" w:line="360" w:lineRule="auto"/>
        <w:ind w:firstLineChars="200" w:firstLine="480"/>
        <w:jc w:val="right"/>
        <w:outlineLvl w:val="5"/>
        <w:rPr>
          <w:rFonts w:ascii="Times New Roman" w:hAnsi="Times New Roman" w:cs="Times New Roman"/>
          <w:bCs/>
          <w:color w:val="000000" w:themeColor="text1"/>
          <w:kern w:val="0"/>
          <w:sz w:val="24"/>
          <w:szCs w:val="24"/>
        </w:rPr>
      </w:pPr>
    </w:p>
    <w:p w14:paraId="40623EB3" w14:textId="77777777" w:rsidR="008E5498" w:rsidRDefault="008E5498" w:rsidP="00BB506C">
      <w:pPr>
        <w:widowControl/>
        <w:spacing w:beforeLines="50" w:before="120" w:afterLines="50" w:after="120" w:line="360" w:lineRule="auto"/>
        <w:ind w:firstLineChars="200" w:firstLine="480"/>
        <w:jc w:val="right"/>
        <w:outlineLvl w:val="5"/>
        <w:rPr>
          <w:rFonts w:ascii="Times New Roman" w:hAnsi="Times New Roman" w:cs="Times New Roman"/>
          <w:bCs/>
          <w:color w:val="000000" w:themeColor="text1"/>
          <w:kern w:val="0"/>
          <w:sz w:val="24"/>
          <w:szCs w:val="24"/>
        </w:rPr>
      </w:pPr>
    </w:p>
    <w:p w14:paraId="33643C2F" w14:textId="77777777" w:rsidR="00596E8B" w:rsidRDefault="00596E8B" w:rsidP="00BB506C">
      <w:pPr>
        <w:widowControl/>
        <w:spacing w:beforeLines="50" w:before="120" w:afterLines="50" w:after="120" w:line="360" w:lineRule="auto"/>
        <w:ind w:firstLineChars="200" w:firstLine="420"/>
        <w:jc w:val="right"/>
        <w:outlineLvl w:val="5"/>
      </w:pPr>
    </w:p>
    <w:sectPr w:rsidR="00596E8B">
      <w:headerReference w:type="default" r:id="rId8"/>
      <w:pgSz w:w="12240" w:h="15840"/>
      <w:pgMar w:top="1440" w:right="1800" w:bottom="1440" w:left="18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06533" w14:textId="77777777" w:rsidR="003A1E38" w:rsidRDefault="003A1E38">
      <w:r>
        <w:t xml:space="preserve">E  </w:t>
      </w:r>
    </w:p>
  </w:endnote>
  <w:endnote w:type="continuationSeparator" w:id="0">
    <w:p w14:paraId="26D5E2EA" w14:textId="77777777" w:rsidR="003A1E38" w:rsidRDefault="003A1E38">
      <w:r>
        <w:t xml:space="preserve"> \*</w:t>
      </w:r>
    </w:p>
  </w:endnote>
  <w:endnote w:type="continuationNotice" w:id="1">
    <w:p w14:paraId="18037995" w14:textId="77777777" w:rsidR="003A1E38" w:rsidRDefault="003A1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Arial"/>
    <w:panose1 w:val="00000000000000000000"/>
    <w:charset w:val="00"/>
    <w:family w:val="swiss"/>
    <w:notTrueType/>
    <w:pitch w:val="default"/>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1E3A7" w14:textId="77777777" w:rsidR="003A1E38" w:rsidRDefault="003A1E38">
      <w:r>
        <w:fldChar w:fldCharType="begin"/>
      </w:r>
      <w:r>
        <w:fldChar w:fldCharType="end"/>
      </w:r>
    </w:p>
  </w:footnote>
  <w:footnote w:type="continuationSeparator" w:id="0">
    <w:p w14:paraId="1B7F7F2E" w14:textId="77777777" w:rsidR="003A1E38" w:rsidRDefault="003A1E38">
      <w:r>
        <w:t>PAG</w:t>
      </w:r>
    </w:p>
  </w:footnote>
  <w:footnote w:type="continuationNotice" w:id="1">
    <w:p w14:paraId="547D1CA4" w14:textId="77777777" w:rsidR="003A1E38" w:rsidRDefault="003A1E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6061A" w14:textId="77777777" w:rsidR="00CD282E" w:rsidRDefault="00CD282E" w:rsidP="00EF5870">
    <w:pPr>
      <w:pStyle w:val="a3"/>
      <w:pBdr>
        <w:bottom w:val="single" w:sz="6" w:space="2" w:color="auto"/>
      </w:pBdr>
      <w:tabs>
        <w:tab w:val="clear" w:pos="4153"/>
      </w:tabs>
      <w:jc w:val="left"/>
    </w:pPr>
    <w:r w:rsidRPr="008849CA">
      <w:rPr>
        <w:noProof/>
      </w:rPr>
      <w:drawing>
        <wp:inline distT="0" distB="0" distL="0" distR="0" wp14:anchorId="5F3966A2" wp14:editId="38235042">
          <wp:extent cx="1133475" cy="3048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r>
      <w:rPr>
        <w:noProof/>
      </w:rPr>
      <w:tab/>
    </w:r>
    <w:r w:rsidRPr="00720983">
      <w:rPr>
        <w:rFonts w:ascii="隶书" w:eastAsia="隶书" w:hint="eastAsia"/>
        <w:noProof/>
      </w:rPr>
      <w:t>临时</w:t>
    </w:r>
    <w:r>
      <w:rPr>
        <w:rFonts w:ascii="隶书" w:eastAsia="隶书" w:hint="eastAsia"/>
        <w:noProof/>
      </w:rPr>
      <w:t>公</w:t>
    </w:r>
    <w:r w:rsidRPr="00720983">
      <w:rPr>
        <w:rFonts w:ascii="隶书" w:eastAsia="隶书" w:hint="eastAsia"/>
        <w:noProof/>
      </w:rPr>
      <w:t>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AD45EB"/>
    <w:multiLevelType w:val="singleLevel"/>
    <w:tmpl w:val="94AD45EB"/>
    <w:lvl w:ilvl="0">
      <w:start w:val="8"/>
      <w:numFmt w:val="chineseCounting"/>
      <w:suff w:val="nothing"/>
      <w:lvlText w:val="%1、"/>
      <w:lvlJc w:val="left"/>
      <w:rPr>
        <w:rFonts w:hint="eastAsia"/>
      </w:rPr>
    </w:lvl>
  </w:abstractNum>
  <w:abstractNum w:abstractNumId="1" w15:restartNumberingAfterBreak="0">
    <w:nsid w:val="0AA76A1F"/>
    <w:multiLevelType w:val="multilevel"/>
    <w:tmpl w:val="0AA76A1F"/>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C755C5"/>
    <w:multiLevelType w:val="multilevel"/>
    <w:tmpl w:val="0CC755C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1B017B"/>
    <w:multiLevelType w:val="multilevel"/>
    <w:tmpl w:val="0D1B017B"/>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13382A96"/>
    <w:multiLevelType w:val="singleLevel"/>
    <w:tmpl w:val="13382A96"/>
    <w:lvl w:ilvl="0">
      <w:start w:val="7"/>
      <w:numFmt w:val="chineseCounting"/>
      <w:suff w:val="nothing"/>
      <w:lvlText w:val="%1、"/>
      <w:lvlJc w:val="left"/>
      <w:rPr>
        <w:rFonts w:hint="eastAsia"/>
      </w:rPr>
    </w:lvl>
  </w:abstractNum>
  <w:abstractNum w:abstractNumId="6" w15:restartNumberingAfterBreak="0">
    <w:nsid w:val="19DB0D1E"/>
    <w:multiLevelType w:val="multilevel"/>
    <w:tmpl w:val="19DB0D1E"/>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D572F4"/>
    <w:multiLevelType w:val="multilevel"/>
    <w:tmpl w:val="35D572F4"/>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74934B7"/>
    <w:multiLevelType w:val="multilevel"/>
    <w:tmpl w:val="374934B7"/>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0" w15:restartNumberingAfterBreak="0">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2" w15:restartNumberingAfterBreak="0">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3" w15:restartNumberingAfterBreak="0">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4" w15:restartNumberingAfterBreak="0">
    <w:nsid w:val="7B77548D"/>
    <w:multiLevelType w:val="multilevel"/>
    <w:tmpl w:val="7B77548D"/>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B8A2E29"/>
    <w:multiLevelType w:val="multilevel"/>
    <w:tmpl w:val="7B8A2E29"/>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1"/>
  </w:num>
  <w:num w:numId="2">
    <w:abstractNumId w:val="13"/>
  </w:num>
  <w:num w:numId="3">
    <w:abstractNumId w:val="9"/>
  </w:num>
  <w:num w:numId="4">
    <w:abstractNumId w:val="10"/>
  </w:num>
  <w:num w:numId="5">
    <w:abstractNumId w:val="16"/>
  </w:num>
  <w:num w:numId="6">
    <w:abstractNumId w:val="12"/>
  </w:num>
  <w:num w:numId="7">
    <w:abstractNumId w:val="4"/>
  </w:num>
  <w:num w:numId="8">
    <w:abstractNumId w:val="14"/>
  </w:num>
  <w:num w:numId="9">
    <w:abstractNumId w:val="6"/>
  </w:num>
  <w:num w:numId="10">
    <w:abstractNumId w:val="0"/>
  </w:num>
  <w:num w:numId="11">
    <w:abstractNumId w:val="2"/>
  </w:num>
  <w:num w:numId="12">
    <w:abstractNumId w:val="7"/>
  </w:num>
  <w:num w:numId="13">
    <w:abstractNumId w:val="3"/>
  </w:num>
  <w:num w:numId="14">
    <w:abstractNumId w:val="1"/>
  </w:num>
  <w:num w:numId="15">
    <w:abstractNumId w:val="8"/>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49B"/>
    <w:rsid w:val="00001760"/>
    <w:rsid w:val="00001979"/>
    <w:rsid w:val="000047A5"/>
    <w:rsid w:val="00010044"/>
    <w:rsid w:val="00020EAA"/>
    <w:rsid w:val="00022ABD"/>
    <w:rsid w:val="000254D6"/>
    <w:rsid w:val="00025D40"/>
    <w:rsid w:val="000300E5"/>
    <w:rsid w:val="0003246C"/>
    <w:rsid w:val="00033010"/>
    <w:rsid w:val="00033204"/>
    <w:rsid w:val="000475F0"/>
    <w:rsid w:val="000538EE"/>
    <w:rsid w:val="000539F6"/>
    <w:rsid w:val="00054D40"/>
    <w:rsid w:val="00056EE0"/>
    <w:rsid w:val="00057323"/>
    <w:rsid w:val="00057B8A"/>
    <w:rsid w:val="0008010F"/>
    <w:rsid w:val="00081ADE"/>
    <w:rsid w:val="00084E7D"/>
    <w:rsid w:val="00087988"/>
    <w:rsid w:val="0009227A"/>
    <w:rsid w:val="00093E55"/>
    <w:rsid w:val="00094F20"/>
    <w:rsid w:val="00095959"/>
    <w:rsid w:val="0009766F"/>
    <w:rsid w:val="000A0272"/>
    <w:rsid w:val="000A0ECE"/>
    <w:rsid w:val="000A588E"/>
    <w:rsid w:val="000B53A5"/>
    <w:rsid w:val="000C06E1"/>
    <w:rsid w:val="000C1032"/>
    <w:rsid w:val="000D18EF"/>
    <w:rsid w:val="000E13E9"/>
    <w:rsid w:val="000E70FC"/>
    <w:rsid w:val="000E7D66"/>
    <w:rsid w:val="000F07E6"/>
    <w:rsid w:val="000F407E"/>
    <w:rsid w:val="000F5213"/>
    <w:rsid w:val="000F6458"/>
    <w:rsid w:val="001039BC"/>
    <w:rsid w:val="001279BE"/>
    <w:rsid w:val="0013251E"/>
    <w:rsid w:val="001445A9"/>
    <w:rsid w:val="00146307"/>
    <w:rsid w:val="001533B2"/>
    <w:rsid w:val="001623CF"/>
    <w:rsid w:val="00165D5C"/>
    <w:rsid w:val="00166B15"/>
    <w:rsid w:val="00174C8C"/>
    <w:rsid w:val="0017571E"/>
    <w:rsid w:val="00175AED"/>
    <w:rsid w:val="00191702"/>
    <w:rsid w:val="00192262"/>
    <w:rsid w:val="001A1995"/>
    <w:rsid w:val="001A593B"/>
    <w:rsid w:val="001C73CB"/>
    <w:rsid w:val="001D04AB"/>
    <w:rsid w:val="001D2521"/>
    <w:rsid w:val="001D74AE"/>
    <w:rsid w:val="001E7CAD"/>
    <w:rsid w:val="001F125D"/>
    <w:rsid w:val="001F15CB"/>
    <w:rsid w:val="001F533E"/>
    <w:rsid w:val="0021172E"/>
    <w:rsid w:val="00221DE2"/>
    <w:rsid w:val="00226CF8"/>
    <w:rsid w:val="00230D18"/>
    <w:rsid w:val="002314CF"/>
    <w:rsid w:val="00232B0A"/>
    <w:rsid w:val="00234298"/>
    <w:rsid w:val="002343BD"/>
    <w:rsid w:val="00241A55"/>
    <w:rsid w:val="00246970"/>
    <w:rsid w:val="002471D4"/>
    <w:rsid w:val="00253326"/>
    <w:rsid w:val="0026041F"/>
    <w:rsid w:val="00261CDE"/>
    <w:rsid w:val="0026276F"/>
    <w:rsid w:val="00276CA4"/>
    <w:rsid w:val="00280870"/>
    <w:rsid w:val="002823E9"/>
    <w:rsid w:val="00282A7F"/>
    <w:rsid w:val="00282C24"/>
    <w:rsid w:val="00284E14"/>
    <w:rsid w:val="00293DE4"/>
    <w:rsid w:val="002941EC"/>
    <w:rsid w:val="00295B8C"/>
    <w:rsid w:val="00296096"/>
    <w:rsid w:val="00296303"/>
    <w:rsid w:val="002968AB"/>
    <w:rsid w:val="002970F7"/>
    <w:rsid w:val="002A1F54"/>
    <w:rsid w:val="002A4FF0"/>
    <w:rsid w:val="002B0C88"/>
    <w:rsid w:val="002B144C"/>
    <w:rsid w:val="002B16F4"/>
    <w:rsid w:val="002B2DA0"/>
    <w:rsid w:val="002B7B4F"/>
    <w:rsid w:val="002C5D36"/>
    <w:rsid w:val="002E24D1"/>
    <w:rsid w:val="002E79D9"/>
    <w:rsid w:val="002E7B0A"/>
    <w:rsid w:val="002F2B53"/>
    <w:rsid w:val="002F4567"/>
    <w:rsid w:val="002F7A80"/>
    <w:rsid w:val="00303860"/>
    <w:rsid w:val="00311075"/>
    <w:rsid w:val="003117E6"/>
    <w:rsid w:val="0031471A"/>
    <w:rsid w:val="00326F35"/>
    <w:rsid w:val="00327CBB"/>
    <w:rsid w:val="00330ACA"/>
    <w:rsid w:val="00332619"/>
    <w:rsid w:val="00333802"/>
    <w:rsid w:val="003443B7"/>
    <w:rsid w:val="003467B5"/>
    <w:rsid w:val="00355B7C"/>
    <w:rsid w:val="00361065"/>
    <w:rsid w:val="0036248F"/>
    <w:rsid w:val="00375273"/>
    <w:rsid w:val="00382BCB"/>
    <w:rsid w:val="00383185"/>
    <w:rsid w:val="00391944"/>
    <w:rsid w:val="00393949"/>
    <w:rsid w:val="003948AF"/>
    <w:rsid w:val="00394BBC"/>
    <w:rsid w:val="003A1E38"/>
    <w:rsid w:val="003A4AC6"/>
    <w:rsid w:val="003B275B"/>
    <w:rsid w:val="003B42F3"/>
    <w:rsid w:val="003C153D"/>
    <w:rsid w:val="003C2820"/>
    <w:rsid w:val="003C3CB5"/>
    <w:rsid w:val="003C5A1A"/>
    <w:rsid w:val="003D040B"/>
    <w:rsid w:val="003D0424"/>
    <w:rsid w:val="003D32D7"/>
    <w:rsid w:val="003D35C2"/>
    <w:rsid w:val="003F4E13"/>
    <w:rsid w:val="003F6960"/>
    <w:rsid w:val="0040020D"/>
    <w:rsid w:val="00405ADB"/>
    <w:rsid w:val="0041749C"/>
    <w:rsid w:val="004254EE"/>
    <w:rsid w:val="00430539"/>
    <w:rsid w:val="00430BFD"/>
    <w:rsid w:val="00430D19"/>
    <w:rsid w:val="00433379"/>
    <w:rsid w:val="00433480"/>
    <w:rsid w:val="0043655D"/>
    <w:rsid w:val="00436DA3"/>
    <w:rsid w:val="00437D86"/>
    <w:rsid w:val="00441246"/>
    <w:rsid w:val="00441E0B"/>
    <w:rsid w:val="00452A46"/>
    <w:rsid w:val="00454581"/>
    <w:rsid w:val="00454978"/>
    <w:rsid w:val="00467E81"/>
    <w:rsid w:val="004744B6"/>
    <w:rsid w:val="004748B9"/>
    <w:rsid w:val="004760B6"/>
    <w:rsid w:val="00477BA8"/>
    <w:rsid w:val="00477EB2"/>
    <w:rsid w:val="00480DBE"/>
    <w:rsid w:val="0048111A"/>
    <w:rsid w:val="00487BF1"/>
    <w:rsid w:val="00491FCB"/>
    <w:rsid w:val="00497943"/>
    <w:rsid w:val="00497A8B"/>
    <w:rsid w:val="004A0E45"/>
    <w:rsid w:val="004A54A6"/>
    <w:rsid w:val="004B1105"/>
    <w:rsid w:val="004B6935"/>
    <w:rsid w:val="004C3109"/>
    <w:rsid w:val="004C44C4"/>
    <w:rsid w:val="004C516F"/>
    <w:rsid w:val="004C625A"/>
    <w:rsid w:val="004C6355"/>
    <w:rsid w:val="004C7E4E"/>
    <w:rsid w:val="004E1D5E"/>
    <w:rsid w:val="004E630B"/>
    <w:rsid w:val="004F0131"/>
    <w:rsid w:val="004F7313"/>
    <w:rsid w:val="00502A0B"/>
    <w:rsid w:val="005158A6"/>
    <w:rsid w:val="0052094C"/>
    <w:rsid w:val="00521A0F"/>
    <w:rsid w:val="00534A41"/>
    <w:rsid w:val="0053650E"/>
    <w:rsid w:val="00537C3D"/>
    <w:rsid w:val="00542535"/>
    <w:rsid w:val="00544E6E"/>
    <w:rsid w:val="00547910"/>
    <w:rsid w:val="00551033"/>
    <w:rsid w:val="00560AC4"/>
    <w:rsid w:val="00563FE4"/>
    <w:rsid w:val="00567A02"/>
    <w:rsid w:val="005711D9"/>
    <w:rsid w:val="005751C6"/>
    <w:rsid w:val="00582D8F"/>
    <w:rsid w:val="005837B0"/>
    <w:rsid w:val="00596AC1"/>
    <w:rsid w:val="00596E8B"/>
    <w:rsid w:val="005A03E9"/>
    <w:rsid w:val="005A183A"/>
    <w:rsid w:val="005A408B"/>
    <w:rsid w:val="005A46AE"/>
    <w:rsid w:val="005A77EA"/>
    <w:rsid w:val="005B5746"/>
    <w:rsid w:val="005C00AF"/>
    <w:rsid w:val="005C7C95"/>
    <w:rsid w:val="005D3C24"/>
    <w:rsid w:val="005D4528"/>
    <w:rsid w:val="005E04E9"/>
    <w:rsid w:val="005E088E"/>
    <w:rsid w:val="005E0F00"/>
    <w:rsid w:val="005E5BCD"/>
    <w:rsid w:val="005F4D9C"/>
    <w:rsid w:val="005F7E5C"/>
    <w:rsid w:val="00604996"/>
    <w:rsid w:val="00605B67"/>
    <w:rsid w:val="006163B1"/>
    <w:rsid w:val="00616874"/>
    <w:rsid w:val="00624314"/>
    <w:rsid w:val="0062589F"/>
    <w:rsid w:val="00626EA8"/>
    <w:rsid w:val="00641CEA"/>
    <w:rsid w:val="00644724"/>
    <w:rsid w:val="00647E70"/>
    <w:rsid w:val="0065080E"/>
    <w:rsid w:val="00653FEE"/>
    <w:rsid w:val="00655229"/>
    <w:rsid w:val="006566F6"/>
    <w:rsid w:val="00656B0C"/>
    <w:rsid w:val="0066309A"/>
    <w:rsid w:val="0066627D"/>
    <w:rsid w:val="006832A2"/>
    <w:rsid w:val="00684A20"/>
    <w:rsid w:val="00690EC4"/>
    <w:rsid w:val="006962CB"/>
    <w:rsid w:val="006A0BB0"/>
    <w:rsid w:val="006A386F"/>
    <w:rsid w:val="006A76C7"/>
    <w:rsid w:val="006A7F42"/>
    <w:rsid w:val="006B4697"/>
    <w:rsid w:val="006C3980"/>
    <w:rsid w:val="006C5004"/>
    <w:rsid w:val="006D17EF"/>
    <w:rsid w:val="006E4621"/>
    <w:rsid w:val="006E4941"/>
    <w:rsid w:val="006E55E9"/>
    <w:rsid w:val="006E5DE5"/>
    <w:rsid w:val="006E7335"/>
    <w:rsid w:val="006F1E9F"/>
    <w:rsid w:val="006F6724"/>
    <w:rsid w:val="0070004D"/>
    <w:rsid w:val="007006AE"/>
    <w:rsid w:val="00700A21"/>
    <w:rsid w:val="00702423"/>
    <w:rsid w:val="00702449"/>
    <w:rsid w:val="00702F48"/>
    <w:rsid w:val="00705694"/>
    <w:rsid w:val="00714CEA"/>
    <w:rsid w:val="007159A1"/>
    <w:rsid w:val="0071642F"/>
    <w:rsid w:val="00722DD7"/>
    <w:rsid w:val="00725827"/>
    <w:rsid w:val="00725F68"/>
    <w:rsid w:val="0073075C"/>
    <w:rsid w:val="007315E0"/>
    <w:rsid w:val="007373EC"/>
    <w:rsid w:val="0074144B"/>
    <w:rsid w:val="00741652"/>
    <w:rsid w:val="00741A3E"/>
    <w:rsid w:val="007443C2"/>
    <w:rsid w:val="00756CAD"/>
    <w:rsid w:val="007629BB"/>
    <w:rsid w:val="00762A82"/>
    <w:rsid w:val="007703B8"/>
    <w:rsid w:val="00771227"/>
    <w:rsid w:val="00772D42"/>
    <w:rsid w:val="00775751"/>
    <w:rsid w:val="00781015"/>
    <w:rsid w:val="0078678D"/>
    <w:rsid w:val="00787132"/>
    <w:rsid w:val="007900FC"/>
    <w:rsid w:val="00792856"/>
    <w:rsid w:val="00794310"/>
    <w:rsid w:val="00794869"/>
    <w:rsid w:val="007959F0"/>
    <w:rsid w:val="00797876"/>
    <w:rsid w:val="007A5116"/>
    <w:rsid w:val="007A5263"/>
    <w:rsid w:val="007B3A14"/>
    <w:rsid w:val="007B4EC6"/>
    <w:rsid w:val="007B549A"/>
    <w:rsid w:val="007B5745"/>
    <w:rsid w:val="007B6893"/>
    <w:rsid w:val="007C3F2C"/>
    <w:rsid w:val="007C51E4"/>
    <w:rsid w:val="007D4066"/>
    <w:rsid w:val="007E0E8C"/>
    <w:rsid w:val="007E3EED"/>
    <w:rsid w:val="007F136D"/>
    <w:rsid w:val="007F3D33"/>
    <w:rsid w:val="007F60CB"/>
    <w:rsid w:val="00801AAB"/>
    <w:rsid w:val="0080773A"/>
    <w:rsid w:val="00816E54"/>
    <w:rsid w:val="0081788D"/>
    <w:rsid w:val="00825398"/>
    <w:rsid w:val="008263AE"/>
    <w:rsid w:val="008273F5"/>
    <w:rsid w:val="008318C0"/>
    <w:rsid w:val="00831A29"/>
    <w:rsid w:val="00832B61"/>
    <w:rsid w:val="00835A88"/>
    <w:rsid w:val="00847A69"/>
    <w:rsid w:val="00847DB6"/>
    <w:rsid w:val="008619E1"/>
    <w:rsid w:val="00861CAF"/>
    <w:rsid w:val="00863123"/>
    <w:rsid w:val="00863D18"/>
    <w:rsid w:val="00866E5A"/>
    <w:rsid w:val="008721DF"/>
    <w:rsid w:val="008738A9"/>
    <w:rsid w:val="00876EC6"/>
    <w:rsid w:val="00881C77"/>
    <w:rsid w:val="00882FB0"/>
    <w:rsid w:val="008839E0"/>
    <w:rsid w:val="00887017"/>
    <w:rsid w:val="00887046"/>
    <w:rsid w:val="00891007"/>
    <w:rsid w:val="008A1AFA"/>
    <w:rsid w:val="008A2CE2"/>
    <w:rsid w:val="008A3460"/>
    <w:rsid w:val="008B0159"/>
    <w:rsid w:val="008B0FAF"/>
    <w:rsid w:val="008B539C"/>
    <w:rsid w:val="008B77D5"/>
    <w:rsid w:val="008C155D"/>
    <w:rsid w:val="008D3BC9"/>
    <w:rsid w:val="008D4634"/>
    <w:rsid w:val="008E4CD7"/>
    <w:rsid w:val="008E5498"/>
    <w:rsid w:val="008E58F7"/>
    <w:rsid w:val="008E6EC1"/>
    <w:rsid w:val="008E7C26"/>
    <w:rsid w:val="008F529E"/>
    <w:rsid w:val="00903815"/>
    <w:rsid w:val="00903C0A"/>
    <w:rsid w:val="009062C4"/>
    <w:rsid w:val="0090723B"/>
    <w:rsid w:val="00910193"/>
    <w:rsid w:val="009163AD"/>
    <w:rsid w:val="0092312D"/>
    <w:rsid w:val="00933628"/>
    <w:rsid w:val="009465EA"/>
    <w:rsid w:val="009506DC"/>
    <w:rsid w:val="009566C4"/>
    <w:rsid w:val="00956DD9"/>
    <w:rsid w:val="00961995"/>
    <w:rsid w:val="0096269A"/>
    <w:rsid w:val="009628AE"/>
    <w:rsid w:val="00967A04"/>
    <w:rsid w:val="00972DB7"/>
    <w:rsid w:val="00973509"/>
    <w:rsid w:val="00977BBE"/>
    <w:rsid w:val="00977E7B"/>
    <w:rsid w:val="00986792"/>
    <w:rsid w:val="009871EF"/>
    <w:rsid w:val="009879AE"/>
    <w:rsid w:val="00990D40"/>
    <w:rsid w:val="00991292"/>
    <w:rsid w:val="00991AEE"/>
    <w:rsid w:val="0099252E"/>
    <w:rsid w:val="00993CBF"/>
    <w:rsid w:val="00997803"/>
    <w:rsid w:val="00997D63"/>
    <w:rsid w:val="009A149B"/>
    <w:rsid w:val="009A230D"/>
    <w:rsid w:val="009B33C8"/>
    <w:rsid w:val="009B5D57"/>
    <w:rsid w:val="009C15E2"/>
    <w:rsid w:val="009C33BF"/>
    <w:rsid w:val="009C3820"/>
    <w:rsid w:val="009E35EB"/>
    <w:rsid w:val="009E3B91"/>
    <w:rsid w:val="009E64F2"/>
    <w:rsid w:val="009E7875"/>
    <w:rsid w:val="009F72D1"/>
    <w:rsid w:val="009F7AA3"/>
    <w:rsid w:val="00A144A6"/>
    <w:rsid w:val="00A20E74"/>
    <w:rsid w:val="00A21627"/>
    <w:rsid w:val="00A37A94"/>
    <w:rsid w:val="00A41611"/>
    <w:rsid w:val="00A441B7"/>
    <w:rsid w:val="00A447AF"/>
    <w:rsid w:val="00A46430"/>
    <w:rsid w:val="00A5780A"/>
    <w:rsid w:val="00A60A32"/>
    <w:rsid w:val="00A62B15"/>
    <w:rsid w:val="00A634EA"/>
    <w:rsid w:val="00A63901"/>
    <w:rsid w:val="00A63F21"/>
    <w:rsid w:val="00A7247E"/>
    <w:rsid w:val="00A72BFA"/>
    <w:rsid w:val="00A72FCD"/>
    <w:rsid w:val="00A74844"/>
    <w:rsid w:val="00A754A2"/>
    <w:rsid w:val="00A81D7B"/>
    <w:rsid w:val="00A87DCB"/>
    <w:rsid w:val="00A96478"/>
    <w:rsid w:val="00AA537C"/>
    <w:rsid w:val="00AB49A1"/>
    <w:rsid w:val="00AC1161"/>
    <w:rsid w:val="00AC1A82"/>
    <w:rsid w:val="00AC2A17"/>
    <w:rsid w:val="00AD18DD"/>
    <w:rsid w:val="00AD562B"/>
    <w:rsid w:val="00AE3F47"/>
    <w:rsid w:val="00AE53D0"/>
    <w:rsid w:val="00AE69BF"/>
    <w:rsid w:val="00AF7347"/>
    <w:rsid w:val="00B014DF"/>
    <w:rsid w:val="00B11B77"/>
    <w:rsid w:val="00B16987"/>
    <w:rsid w:val="00B17EF5"/>
    <w:rsid w:val="00B2068A"/>
    <w:rsid w:val="00B20FE8"/>
    <w:rsid w:val="00B23F95"/>
    <w:rsid w:val="00B25BAB"/>
    <w:rsid w:val="00B26285"/>
    <w:rsid w:val="00B33006"/>
    <w:rsid w:val="00B33F4A"/>
    <w:rsid w:val="00B41297"/>
    <w:rsid w:val="00B417D9"/>
    <w:rsid w:val="00B45CF3"/>
    <w:rsid w:val="00B504F2"/>
    <w:rsid w:val="00B517DE"/>
    <w:rsid w:val="00B51CE1"/>
    <w:rsid w:val="00B53078"/>
    <w:rsid w:val="00B60CEF"/>
    <w:rsid w:val="00B61B5C"/>
    <w:rsid w:val="00B61D0F"/>
    <w:rsid w:val="00B64EDD"/>
    <w:rsid w:val="00B65E43"/>
    <w:rsid w:val="00B725A0"/>
    <w:rsid w:val="00B7491E"/>
    <w:rsid w:val="00B763C4"/>
    <w:rsid w:val="00B91560"/>
    <w:rsid w:val="00B9364B"/>
    <w:rsid w:val="00B95F9A"/>
    <w:rsid w:val="00B979F7"/>
    <w:rsid w:val="00BA0E21"/>
    <w:rsid w:val="00BA1434"/>
    <w:rsid w:val="00BA3915"/>
    <w:rsid w:val="00BA3AE4"/>
    <w:rsid w:val="00BB0512"/>
    <w:rsid w:val="00BB3501"/>
    <w:rsid w:val="00BB3A06"/>
    <w:rsid w:val="00BB506C"/>
    <w:rsid w:val="00BB7A7F"/>
    <w:rsid w:val="00BC3F72"/>
    <w:rsid w:val="00BC4550"/>
    <w:rsid w:val="00BC64B2"/>
    <w:rsid w:val="00BC662F"/>
    <w:rsid w:val="00BC6FFD"/>
    <w:rsid w:val="00BC778B"/>
    <w:rsid w:val="00BC7AFE"/>
    <w:rsid w:val="00BC7DBC"/>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3BCB"/>
    <w:rsid w:val="00C1450B"/>
    <w:rsid w:val="00C22765"/>
    <w:rsid w:val="00C22816"/>
    <w:rsid w:val="00C232AD"/>
    <w:rsid w:val="00C234C6"/>
    <w:rsid w:val="00C2753D"/>
    <w:rsid w:val="00C3318B"/>
    <w:rsid w:val="00C3553B"/>
    <w:rsid w:val="00C36A15"/>
    <w:rsid w:val="00C37AB5"/>
    <w:rsid w:val="00C40B99"/>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97AB0"/>
    <w:rsid w:val="00CA1FEF"/>
    <w:rsid w:val="00CA25FC"/>
    <w:rsid w:val="00CA2BA2"/>
    <w:rsid w:val="00CA4FB1"/>
    <w:rsid w:val="00CA6A56"/>
    <w:rsid w:val="00CB20CC"/>
    <w:rsid w:val="00CB2CEE"/>
    <w:rsid w:val="00CB4DE3"/>
    <w:rsid w:val="00CC2F35"/>
    <w:rsid w:val="00CC40C3"/>
    <w:rsid w:val="00CC5442"/>
    <w:rsid w:val="00CD282E"/>
    <w:rsid w:val="00CD42C4"/>
    <w:rsid w:val="00CE43F8"/>
    <w:rsid w:val="00CE7C8B"/>
    <w:rsid w:val="00CF01CC"/>
    <w:rsid w:val="00CF6D5C"/>
    <w:rsid w:val="00D10B1F"/>
    <w:rsid w:val="00D11E1F"/>
    <w:rsid w:val="00D20C81"/>
    <w:rsid w:val="00D3262F"/>
    <w:rsid w:val="00D33CF5"/>
    <w:rsid w:val="00D361FE"/>
    <w:rsid w:val="00D36E74"/>
    <w:rsid w:val="00D42F13"/>
    <w:rsid w:val="00D43B3D"/>
    <w:rsid w:val="00D5035D"/>
    <w:rsid w:val="00D5213E"/>
    <w:rsid w:val="00D52A3F"/>
    <w:rsid w:val="00D535B2"/>
    <w:rsid w:val="00D56E0D"/>
    <w:rsid w:val="00D57390"/>
    <w:rsid w:val="00D62A71"/>
    <w:rsid w:val="00D70A3B"/>
    <w:rsid w:val="00D72110"/>
    <w:rsid w:val="00D82B97"/>
    <w:rsid w:val="00D846E8"/>
    <w:rsid w:val="00D9157E"/>
    <w:rsid w:val="00D919AF"/>
    <w:rsid w:val="00D937BD"/>
    <w:rsid w:val="00D964E6"/>
    <w:rsid w:val="00DA2D7C"/>
    <w:rsid w:val="00DB6F0A"/>
    <w:rsid w:val="00DD2C18"/>
    <w:rsid w:val="00DD7BAA"/>
    <w:rsid w:val="00DE0FFA"/>
    <w:rsid w:val="00DE6A70"/>
    <w:rsid w:val="00DF3DF3"/>
    <w:rsid w:val="00DF5AA8"/>
    <w:rsid w:val="00E11D7D"/>
    <w:rsid w:val="00E1254C"/>
    <w:rsid w:val="00E16895"/>
    <w:rsid w:val="00E32614"/>
    <w:rsid w:val="00E33250"/>
    <w:rsid w:val="00E3526B"/>
    <w:rsid w:val="00E37310"/>
    <w:rsid w:val="00E46FB2"/>
    <w:rsid w:val="00E5059C"/>
    <w:rsid w:val="00E54C06"/>
    <w:rsid w:val="00E5664A"/>
    <w:rsid w:val="00E64475"/>
    <w:rsid w:val="00E72F8C"/>
    <w:rsid w:val="00E7407A"/>
    <w:rsid w:val="00E81A0A"/>
    <w:rsid w:val="00E964F7"/>
    <w:rsid w:val="00EA6F84"/>
    <w:rsid w:val="00EB7931"/>
    <w:rsid w:val="00EC6B7E"/>
    <w:rsid w:val="00ED548C"/>
    <w:rsid w:val="00ED6FAD"/>
    <w:rsid w:val="00ED7F3F"/>
    <w:rsid w:val="00EF043C"/>
    <w:rsid w:val="00EF49B3"/>
    <w:rsid w:val="00EF56E1"/>
    <w:rsid w:val="00EF5870"/>
    <w:rsid w:val="00EF73FD"/>
    <w:rsid w:val="00F00561"/>
    <w:rsid w:val="00F01150"/>
    <w:rsid w:val="00F01E3D"/>
    <w:rsid w:val="00F04DC2"/>
    <w:rsid w:val="00F066D9"/>
    <w:rsid w:val="00F1382C"/>
    <w:rsid w:val="00F21E71"/>
    <w:rsid w:val="00F247A6"/>
    <w:rsid w:val="00F25F52"/>
    <w:rsid w:val="00F32586"/>
    <w:rsid w:val="00F469D5"/>
    <w:rsid w:val="00F46BB2"/>
    <w:rsid w:val="00F47FEE"/>
    <w:rsid w:val="00F527B3"/>
    <w:rsid w:val="00F624E2"/>
    <w:rsid w:val="00F632AF"/>
    <w:rsid w:val="00F6382D"/>
    <w:rsid w:val="00F63F55"/>
    <w:rsid w:val="00F66378"/>
    <w:rsid w:val="00F71C51"/>
    <w:rsid w:val="00F77F4B"/>
    <w:rsid w:val="00F9100C"/>
    <w:rsid w:val="00FA0934"/>
    <w:rsid w:val="00FA653D"/>
    <w:rsid w:val="00FA721A"/>
    <w:rsid w:val="00FB23EE"/>
    <w:rsid w:val="00FC1BB2"/>
    <w:rsid w:val="00FC34DF"/>
    <w:rsid w:val="00FD08DE"/>
    <w:rsid w:val="00FD658E"/>
    <w:rsid w:val="00FE0C5A"/>
    <w:rsid w:val="00FE13A2"/>
    <w:rsid w:val="00FF1E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A8CAC"/>
  <w15:docId w15:val="{8C095230-4603-4737-8202-7BC2246D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styleId="ad">
    <w:name w:val="Date"/>
    <w:basedOn w:val="a"/>
    <w:next w:val="a"/>
    <w:link w:val="Char5"/>
    <w:uiPriority w:val="99"/>
    <w:semiHidden/>
    <w:unhideWhenUsed/>
    <w:rsid w:val="00863123"/>
    <w:pPr>
      <w:ind w:leftChars="2500" w:left="100"/>
    </w:pPr>
  </w:style>
  <w:style w:type="character" w:customStyle="1" w:styleId="Char5">
    <w:name w:val="日期 Char"/>
    <w:basedOn w:val="a0"/>
    <w:link w:val="ad"/>
    <w:uiPriority w:val="99"/>
    <w:semiHidden/>
    <w:rsid w:val="00863123"/>
  </w:style>
  <w:style w:type="paragraph" w:styleId="ae">
    <w:name w:val="Normal (Web)"/>
    <w:basedOn w:val="a"/>
    <w:uiPriority w:val="99"/>
    <w:unhideWhenUsed/>
    <w:qFormat/>
    <w:rsid w:val="006E4621"/>
    <w:pPr>
      <w:widowControl/>
      <w:spacing w:before="100" w:beforeAutospacing="1" w:after="100" w:afterAutospacing="1"/>
      <w:jc w:val="left"/>
    </w:pPr>
    <w:rPr>
      <w:rFonts w:ascii="宋体" w:eastAsia="宋体" w:hAnsi="宋体" w:cs="宋体"/>
      <w:kern w:val="0"/>
      <w:sz w:val="24"/>
      <w:szCs w:val="24"/>
    </w:rPr>
  </w:style>
  <w:style w:type="character" w:customStyle="1" w:styleId="textseginsigdiff">
    <w:name w:val="textseginsigdiff"/>
    <w:basedOn w:val="a0"/>
    <w:rsid w:val="003B275B"/>
  </w:style>
  <w:style w:type="paragraph" w:customStyle="1" w:styleId="Default">
    <w:name w:val="Default"/>
    <w:rsid w:val="007373EC"/>
    <w:pPr>
      <w:widowControl w:val="0"/>
      <w:autoSpaceDE w:val="0"/>
      <w:autoSpaceDN w:val="0"/>
      <w:adjustRightInd w:val="0"/>
    </w:pPr>
    <w:rPr>
      <w:rFonts w:ascii="FZXiaoBiaoSong-B05S" w:hAnsi="FZXiaoBiaoSong-B05S" w:cs="FZXiaoBiaoSong-B05S"/>
      <w:color w:val="000000"/>
      <w:kern w:val="0"/>
      <w:sz w:val="24"/>
      <w:szCs w:val="24"/>
    </w:rPr>
  </w:style>
  <w:style w:type="paragraph" w:styleId="af">
    <w:name w:val="Revision"/>
    <w:hidden/>
    <w:uiPriority w:val="99"/>
    <w:semiHidden/>
    <w:rsid w:val="00537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98593">
      <w:bodyDiv w:val="1"/>
      <w:marLeft w:val="0"/>
      <w:marRight w:val="0"/>
      <w:marTop w:val="0"/>
      <w:marBottom w:val="0"/>
      <w:divBdr>
        <w:top w:val="none" w:sz="0" w:space="0" w:color="auto"/>
        <w:left w:val="none" w:sz="0" w:space="0" w:color="auto"/>
        <w:bottom w:val="none" w:sz="0" w:space="0" w:color="auto"/>
        <w:right w:val="none" w:sz="0" w:space="0" w:color="auto"/>
      </w:divBdr>
    </w:div>
    <w:div w:id="839007260">
      <w:bodyDiv w:val="1"/>
      <w:marLeft w:val="0"/>
      <w:marRight w:val="0"/>
      <w:marTop w:val="0"/>
      <w:marBottom w:val="0"/>
      <w:divBdr>
        <w:top w:val="none" w:sz="0" w:space="0" w:color="auto"/>
        <w:left w:val="none" w:sz="0" w:space="0" w:color="auto"/>
        <w:bottom w:val="none" w:sz="0" w:space="0" w:color="auto"/>
        <w:right w:val="none" w:sz="0" w:space="0" w:color="auto"/>
      </w:divBdr>
    </w:div>
    <w:div w:id="1238785290">
      <w:bodyDiv w:val="1"/>
      <w:marLeft w:val="0"/>
      <w:marRight w:val="0"/>
      <w:marTop w:val="0"/>
      <w:marBottom w:val="0"/>
      <w:divBdr>
        <w:top w:val="none" w:sz="0" w:space="0" w:color="auto"/>
        <w:left w:val="none" w:sz="0" w:space="0" w:color="auto"/>
        <w:bottom w:val="none" w:sz="0" w:space="0" w:color="auto"/>
        <w:right w:val="none" w:sz="0" w:space="0" w:color="auto"/>
      </w:divBdr>
    </w:div>
    <w:div w:id="192059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7C7EC-66DF-4DE7-805B-18543C6C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454</Words>
  <Characters>2594</Characters>
  <Application>Microsoft Office Word</Application>
  <DocSecurity>0</DocSecurity>
  <Lines>21</Lines>
  <Paragraphs>6</Paragraphs>
  <ScaleCrop>false</ScaleCrop>
  <Company>P R C</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黄天红</cp:lastModifiedBy>
  <cp:revision>23</cp:revision>
  <cp:lastPrinted>2019-08-07T06:37:00Z</cp:lastPrinted>
  <dcterms:created xsi:type="dcterms:W3CDTF">2020-10-14T06:49:00Z</dcterms:created>
  <dcterms:modified xsi:type="dcterms:W3CDTF">2021-09-23T01:54:00Z</dcterms:modified>
</cp:coreProperties>
</file>