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0F" w:rsidRPr="0069570F" w:rsidRDefault="0069570F" w:rsidP="002E38A1">
      <w:pPr>
        <w:widowControl/>
        <w:spacing w:beforeLines="100" w:before="312" w:line="301" w:lineRule="atLeast"/>
        <w:ind w:firstLineChars="200" w:firstLine="562"/>
        <w:jc w:val="center"/>
        <w:outlineLvl w:val="5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bookmarkStart w:id="0" w:name="_GoBack"/>
      <w:bookmarkEnd w:id="0"/>
      <w:r w:rsidRPr="0069570F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关于</w:t>
      </w:r>
      <w:r w:rsidR="002E38A1" w:rsidRPr="002E38A1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财通恒利纯债债券型证券投资基金</w:t>
      </w:r>
      <w:r w:rsidRPr="0069570F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可能触发基金合同终止情形的提示性公告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根据《中华人民共和国证券投资基金法》、《公开募集证券投资基金运作管理办法》、《</w:t>
      </w:r>
      <w:r w:rsidR="002E38A1" w:rsidRPr="002E38A1">
        <w:rPr>
          <w:rFonts w:ascii="Times New Roman" w:eastAsia="宋体" w:hAnsi="Times New Roman" w:cs="Times New Roman"/>
          <w:bCs/>
          <w:kern w:val="0"/>
          <w:sz w:val="24"/>
          <w:szCs w:val="24"/>
        </w:rPr>
        <w:t>财通恒利纯债债券型证券投资基金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基金合同》（以下简称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《基金合同》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）的有关规定，</w:t>
      </w:r>
      <w:r w:rsidR="002E38A1" w:rsidRPr="002E38A1">
        <w:rPr>
          <w:rFonts w:ascii="Times New Roman" w:eastAsia="宋体" w:hAnsi="Times New Roman" w:cs="Times New Roman"/>
          <w:bCs/>
          <w:kern w:val="0"/>
          <w:sz w:val="24"/>
          <w:szCs w:val="24"/>
        </w:rPr>
        <w:t>财通恒利纯债债券型证券投资基金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（以下简称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本基金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）可能触发基金合同终止情形。现将相关事宜公告如下：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一、本基金基本信息</w:t>
      </w:r>
    </w:p>
    <w:tbl>
      <w:tblPr>
        <w:tblW w:w="8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26"/>
        <w:gridCol w:w="5103"/>
      </w:tblGrid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财通恒利纯债债券型证券投资基金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基金简称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财通恒利债券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基金主代码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007554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基金运作方式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D5690F" w:rsidRDefault="002E38A1" w:rsidP="00D5690F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5690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契约型</w:t>
            </w:r>
            <w:r w:rsidR="00AE1C96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5690F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开放式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基金合同生效日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基金管理人名称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基金托管人名称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徽商银行股份有限公司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公告依据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eastAsia="Times New Roman" w:cs="Times New Roman"/>
                <w:color w:val="000000"/>
                <w:kern w:val="0"/>
                <w:sz w:val="23"/>
                <w:szCs w:val="23"/>
              </w:rPr>
            </w:pPr>
            <w:r w:rsidRPr="009A7D7E">
              <w:rPr>
                <w:rFonts w:ascii="Times New Roman" w:hAnsi="Times New Roman" w:hint="eastAsia"/>
                <w:kern w:val="0"/>
                <w:sz w:val="24"/>
                <w:szCs w:val="24"/>
              </w:rPr>
              <w:t>《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财通恒利纯债债券型证券投资基金</w:t>
            </w:r>
            <w:r w:rsidRPr="009A7D7E">
              <w:rPr>
                <w:rFonts w:ascii="Times New Roman" w:hAnsi="Times New Roman" w:hint="eastAsia"/>
                <w:kern w:val="0"/>
                <w:sz w:val="24"/>
                <w:szCs w:val="24"/>
              </w:rPr>
              <w:t>基金合同》、《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财通恒利纯债债券型证券投资基金</w:t>
            </w:r>
            <w:r w:rsidRPr="009A7D7E">
              <w:rPr>
                <w:rFonts w:ascii="Times New Roman" w:hAnsi="Times New Roman" w:hint="eastAsia"/>
                <w:kern w:val="0"/>
                <w:sz w:val="24"/>
                <w:szCs w:val="24"/>
              </w:rPr>
              <w:t>招募说明书》等</w:t>
            </w:r>
          </w:p>
        </w:tc>
      </w:tr>
    </w:tbl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二、可能触发基金合同终止情形的说明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根据《基金合同》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第五部分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基金备案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之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三、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基金存续期内的基金份额持有人数量和资产规模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的约定：</w:t>
      </w:r>
    </w:p>
    <w:p w:rsidR="001E7367" w:rsidRPr="001E7367" w:rsidRDefault="0069570F" w:rsidP="001E7367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基金合同生效后，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连续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20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个工作日出现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基金份额持有人数量不满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200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人或者基金资产净值低于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5000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万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元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情形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的，基金管理人应当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在定期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报告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中予以披露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；连续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60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个工作日出现前述情形的，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经与基金托管人协商一致，基金管理人有权决定终止本基金合同，无需召开基金份额持有人大会进行表决。</w:t>
      </w:r>
    </w:p>
    <w:p w:rsidR="001E7367" w:rsidRPr="0069570F" w:rsidRDefault="001E7367" w:rsidP="001E7367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法律法规</w:t>
      </w:r>
      <w:r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或监管部门</w:t>
      </w:r>
      <w:r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另有规定时，从其规定。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</w:p>
    <w:p w:rsidR="0069570F" w:rsidRPr="0069570F" w:rsidRDefault="001E7367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截至</w:t>
      </w:r>
      <w:r w:rsidR="007C638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2021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年</w:t>
      </w:r>
      <w:r w:rsidR="007C638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月</w:t>
      </w:r>
      <w:r w:rsidR="007C638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22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日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，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本基金基金资产净值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已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持续</w:t>
      </w:r>
      <w:r w:rsidR="00D5690F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55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工作日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低于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5000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万元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，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若截至</w:t>
      </w:r>
      <w:r w:rsidR="0074625B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20</w:t>
      </w:r>
      <w:r w:rsidR="0074625B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21</w:t>
      </w:r>
      <w:r w:rsidR="0074625B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年</w:t>
      </w:r>
      <w:r w:rsidR="0074625B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3</w:t>
      </w:r>
      <w:r w:rsidR="0074625B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月</w:t>
      </w:r>
      <w:r w:rsidR="0074625B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29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日日终，本基金基金资产净值持续</w:t>
      </w:r>
      <w:r w:rsidR="00020D92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60</w:t>
      </w:r>
      <w:r w:rsidR="00020D92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</w:t>
      </w:r>
      <w:r w:rsidR="00020D92">
        <w:rPr>
          <w:rFonts w:ascii="Times New Roman" w:eastAsia="宋体" w:hAnsi="Times New Roman" w:cs="Times New Roman"/>
          <w:bCs/>
          <w:kern w:val="0"/>
          <w:sz w:val="24"/>
          <w:szCs w:val="24"/>
        </w:rPr>
        <w:t>工作日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低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lastRenderedPageBreak/>
        <w:t>于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5000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万元，则</w:t>
      </w:r>
      <w:r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经与基金托管人协商一致，基金管理人有权决定终止本基金合同，无需召开基金份额持有人大会进行表决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。特此提示。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三、其他需要提示的事项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（一）若出现触发《基金合同》终止</w:t>
      </w:r>
      <w:r w:rsid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事由的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，基金管理人将根据相关法律法规、《基金合同》等规定成立基金财产清算小组，履行基金财产清算程序。进入清算程序前各项业务仍正常办理，本基金进入清算程序后将不再开放办理申购、赎回、转换等业务，基金财产将在基金财产清算小组履行完毕清算程序后进行分配。敬请投资者予以关注，妥善做好投资安排。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（二）投资者欲了解本基金的详细情况，请认真阅读本基金《基金合同》、《招募说明书》等基金法律文件。投资者可以登录</w:t>
      </w:r>
      <w:r w:rsidR="002E38A1" w:rsidRPr="002E38A1">
        <w:rPr>
          <w:rFonts w:ascii="Times New Roman" w:eastAsia="宋体" w:hAnsi="Times New Roman" w:cs="Times New Roman"/>
          <w:bCs/>
          <w:kern w:val="0"/>
          <w:sz w:val="24"/>
          <w:szCs w:val="24"/>
        </w:rPr>
        <w:t>财通基金管理有限公司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官网（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www.</w:t>
      </w:r>
      <w:r w:rsid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ct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fund.com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）或拨打公司客户服务电话（</w:t>
      </w:r>
      <w:r w:rsidR="00B9679D" w:rsidRPr="00275B5E">
        <w:rPr>
          <w:rFonts w:ascii="Times New Roman" w:hAnsi="Times New Roman"/>
          <w:color w:val="000000"/>
          <w:kern w:val="0"/>
          <w:sz w:val="24"/>
          <w:szCs w:val="24"/>
        </w:rPr>
        <w:t>400-820-9888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）咨询。</w:t>
      </w:r>
    </w:p>
    <w:p w:rsidR="002E38A1" w:rsidRPr="006453B2" w:rsidRDefault="002E38A1" w:rsidP="002E38A1">
      <w:pPr>
        <w:widowControl/>
        <w:spacing w:before="100" w:beforeAutospacing="1" w:after="100" w:afterAutospacing="1" w:line="360" w:lineRule="auto"/>
        <w:ind w:firstLineChars="200" w:firstLine="480"/>
        <w:jc w:val="lef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风险提示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:</w:t>
      </w:r>
    </w:p>
    <w:p w:rsidR="002E38A1" w:rsidRPr="006453B2" w:rsidRDefault="002E38A1" w:rsidP="002E38A1">
      <w:pPr>
        <w:widowControl/>
        <w:spacing w:beforeLines="50" w:before="156" w:afterLines="50" w:after="156" w:line="360" w:lineRule="auto"/>
        <w:ind w:firstLineChars="200" w:firstLine="480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本公司承诺以诚实信用、勤勉尽责的原则管理和运用基金资产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,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但不保证基金一定盈利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,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也不保证最低收益。基金的过往业绩及其净值高低并不预示其未来业绩表现。本公司提醒投资者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,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投资者投资于基金前应认真阅读本基金的基金合同、招募说明书等文件。敬请投资者注意投资风险。</w:t>
      </w:r>
    </w:p>
    <w:p w:rsidR="002E38A1" w:rsidRPr="006453B2" w:rsidRDefault="002E38A1" w:rsidP="002E38A1">
      <w:pPr>
        <w:widowControl/>
        <w:spacing w:before="100" w:beforeAutospacing="1" w:after="100" w:afterAutospacing="1" w:line="360" w:lineRule="auto"/>
        <w:ind w:firstLineChars="200" w:firstLine="480"/>
        <w:jc w:val="lef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特此公告。</w:t>
      </w:r>
    </w:p>
    <w:p w:rsidR="002E38A1" w:rsidRPr="006453B2" w:rsidRDefault="002E38A1" w:rsidP="002E38A1">
      <w:pPr>
        <w:widowControl/>
        <w:spacing w:after="100" w:afterAutospacing="1" w:line="300" w:lineRule="auto"/>
        <w:jc w:val="righ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财通基金管理有限公司</w:t>
      </w:r>
    </w:p>
    <w:p w:rsidR="002E38A1" w:rsidRPr="00CA1E54" w:rsidRDefault="007C638A" w:rsidP="002E38A1">
      <w:pPr>
        <w:widowControl/>
        <w:spacing w:after="100" w:afterAutospacing="1" w:line="300" w:lineRule="auto"/>
        <w:jc w:val="righ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二〇二</w:t>
      </w:r>
      <w:r>
        <w:rPr>
          <w:rFonts w:ascii="Times New Roman" w:hAnsi="Times New Roman" w:hint="eastAsia"/>
          <w:bCs/>
          <w:kern w:val="0"/>
          <w:sz w:val="24"/>
          <w:szCs w:val="24"/>
        </w:rPr>
        <w:t>一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年</w:t>
      </w:r>
      <w:r>
        <w:rPr>
          <w:rFonts w:ascii="Times New Roman" w:hAnsi="Times New Roman" w:hint="eastAsia"/>
          <w:bCs/>
          <w:kern w:val="0"/>
          <w:sz w:val="24"/>
          <w:szCs w:val="24"/>
        </w:rPr>
        <w:t>三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月</w:t>
      </w:r>
      <w:r>
        <w:rPr>
          <w:rFonts w:ascii="Times New Roman" w:hAnsi="Times New Roman" w:hint="eastAsia"/>
          <w:bCs/>
          <w:kern w:val="0"/>
          <w:sz w:val="24"/>
          <w:szCs w:val="24"/>
        </w:rPr>
        <w:t>二十四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日</w:t>
      </w:r>
    </w:p>
    <w:p w:rsidR="005F67E7" w:rsidRDefault="005F67E7"/>
    <w:sectPr w:rsidR="005F67E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6E" w:rsidRDefault="0007046E" w:rsidP="0069570F">
      <w:r>
        <w:separator/>
      </w:r>
    </w:p>
  </w:endnote>
  <w:endnote w:type="continuationSeparator" w:id="0">
    <w:p w:rsidR="0007046E" w:rsidRDefault="0007046E" w:rsidP="0069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6E" w:rsidRDefault="0007046E" w:rsidP="0069570F">
      <w:r>
        <w:separator/>
      </w:r>
    </w:p>
  </w:footnote>
  <w:footnote w:type="continuationSeparator" w:id="0">
    <w:p w:rsidR="0007046E" w:rsidRDefault="0007046E" w:rsidP="00695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67" w:rsidRDefault="001E7367" w:rsidP="001E7367">
    <w:pPr>
      <w:pStyle w:val="a3"/>
      <w:pBdr>
        <w:bottom w:val="single" w:sz="6" w:space="2" w:color="auto"/>
      </w:pBdr>
      <w:tabs>
        <w:tab w:val="clear" w:pos="4153"/>
      </w:tabs>
      <w:jc w:val="left"/>
    </w:pPr>
    <w:r w:rsidRPr="008849CA">
      <w:rPr>
        <w:noProof/>
      </w:rPr>
      <w:drawing>
        <wp:inline distT="0" distB="0" distL="0" distR="0">
          <wp:extent cx="1133475" cy="304800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720983">
      <w:rPr>
        <w:rFonts w:ascii="隶书" w:eastAsia="隶书" w:hint="eastAsia"/>
        <w:noProof/>
      </w:rPr>
      <w:t>临时</w:t>
    </w:r>
    <w:r>
      <w:rPr>
        <w:rFonts w:ascii="隶书" w:eastAsia="隶书" w:hint="eastAsia"/>
        <w:noProof/>
      </w:rPr>
      <w:t>公</w:t>
    </w:r>
    <w:r w:rsidRPr="00720983">
      <w:rPr>
        <w:rFonts w:ascii="隶书" w:eastAsia="隶书" w:hint="eastAsia"/>
        <w:noProof/>
      </w:rPr>
      <w:t>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4B"/>
    <w:rsid w:val="00020D92"/>
    <w:rsid w:val="0007046E"/>
    <w:rsid w:val="000D091A"/>
    <w:rsid w:val="001B0384"/>
    <w:rsid w:val="001E7367"/>
    <w:rsid w:val="002A6DC5"/>
    <w:rsid w:val="002D6BA4"/>
    <w:rsid w:val="002E38A1"/>
    <w:rsid w:val="003B2B4B"/>
    <w:rsid w:val="00526E2B"/>
    <w:rsid w:val="005B05CA"/>
    <w:rsid w:val="005F67E7"/>
    <w:rsid w:val="0069570F"/>
    <w:rsid w:val="0069660C"/>
    <w:rsid w:val="006D7284"/>
    <w:rsid w:val="0074625B"/>
    <w:rsid w:val="007C196E"/>
    <w:rsid w:val="007C638A"/>
    <w:rsid w:val="00833F03"/>
    <w:rsid w:val="00AE1C96"/>
    <w:rsid w:val="00B37F3C"/>
    <w:rsid w:val="00B9679D"/>
    <w:rsid w:val="00D5690F"/>
    <w:rsid w:val="00DA3A02"/>
    <w:rsid w:val="00F1004B"/>
    <w:rsid w:val="00F5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9570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7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9570F"/>
    <w:rPr>
      <w:rFonts w:ascii="宋体" w:eastAsia="宋体" w:hAnsi="宋体" w:cs="宋体"/>
      <w:kern w:val="36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9570F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6957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ool-icon2">
    <w:name w:val="tool-icon2"/>
    <w:basedOn w:val="a0"/>
    <w:rsid w:val="0069570F"/>
  </w:style>
  <w:style w:type="character" w:customStyle="1" w:styleId="num4">
    <w:name w:val="num4"/>
    <w:basedOn w:val="a0"/>
    <w:rsid w:val="0069570F"/>
  </w:style>
  <w:style w:type="paragraph" w:styleId="a7">
    <w:name w:val="Balloon Text"/>
    <w:basedOn w:val="a"/>
    <w:link w:val="Char1"/>
    <w:uiPriority w:val="99"/>
    <w:semiHidden/>
    <w:unhideWhenUsed/>
    <w:rsid w:val="000D09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D09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9570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7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9570F"/>
    <w:rPr>
      <w:rFonts w:ascii="宋体" w:eastAsia="宋体" w:hAnsi="宋体" w:cs="宋体"/>
      <w:kern w:val="36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9570F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6957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ool-icon2">
    <w:name w:val="tool-icon2"/>
    <w:basedOn w:val="a0"/>
    <w:rsid w:val="0069570F"/>
  </w:style>
  <w:style w:type="character" w:customStyle="1" w:styleId="num4">
    <w:name w:val="num4"/>
    <w:basedOn w:val="a0"/>
    <w:rsid w:val="0069570F"/>
  </w:style>
  <w:style w:type="paragraph" w:styleId="a7">
    <w:name w:val="Balloon Text"/>
    <w:basedOn w:val="a"/>
    <w:link w:val="Char1"/>
    <w:uiPriority w:val="99"/>
    <w:semiHidden/>
    <w:unhideWhenUsed/>
    <w:rsid w:val="000D09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D09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027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2" w:space="0" w:color="E5E5E5"/>
                    <w:bottom w:val="single" w:sz="6" w:space="0" w:color="E5E5E5"/>
                    <w:right w:val="single" w:sz="2" w:space="0" w:color="E5E5E5"/>
                  </w:divBdr>
                  <w:divsChild>
                    <w:div w:id="6984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8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42920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638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173</Words>
  <Characters>988</Characters>
  <Application>Microsoft Office Word</Application>
  <DocSecurity>0</DocSecurity>
  <Lines>8</Lines>
  <Paragraphs>2</Paragraphs>
  <ScaleCrop>false</ScaleCrop>
  <Company>P R C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黄天红</dc:creator>
  <cp:keywords/>
  <dc:description/>
  <cp:lastModifiedBy>yaomingjie</cp:lastModifiedBy>
  <cp:revision>32</cp:revision>
  <dcterms:created xsi:type="dcterms:W3CDTF">2019-11-29T02:23:00Z</dcterms:created>
  <dcterms:modified xsi:type="dcterms:W3CDTF">2021-03-02T05:06:00Z</dcterms:modified>
</cp:coreProperties>
</file>