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78E90" w14:textId="77777777" w:rsidR="006F6C5D" w:rsidRPr="00FD1749" w:rsidRDefault="006F6C5D" w:rsidP="006F6C5D">
      <w:pPr>
        <w:spacing w:line="360" w:lineRule="auto"/>
        <w:jc w:val="center"/>
        <w:rPr>
          <w:rFonts w:ascii="黑体" w:eastAsia="黑体" w:hAnsi="黑体"/>
          <w:b/>
          <w:sz w:val="32"/>
        </w:rPr>
      </w:pPr>
      <w:r w:rsidRPr="00FD1749">
        <w:rPr>
          <w:rFonts w:ascii="黑体" w:eastAsia="黑体" w:hAnsi="黑体" w:hint="eastAsia"/>
          <w:b/>
          <w:sz w:val="32"/>
        </w:rPr>
        <w:t>风险揭示书</w:t>
      </w:r>
    </w:p>
    <w:p w14:paraId="27451251" w14:textId="2CAAFB06" w:rsidR="001F5C75" w:rsidRPr="00FD1749" w:rsidRDefault="00697835" w:rsidP="00735630">
      <w:pPr>
        <w:rPr>
          <w:rFonts w:ascii="Arial" w:hAnsi="Arial" w:cs="Arial"/>
          <w:b/>
          <w:color w:val="000000"/>
          <w:sz w:val="24"/>
          <w:u w:val="single"/>
        </w:rPr>
      </w:pPr>
      <w:r>
        <w:rPr>
          <w:rFonts w:ascii="Arial" w:hAnsi="Arial" w:cs="Arial"/>
          <w:b/>
          <w:noProof/>
          <w:color w:val="000000"/>
          <w:sz w:val="24"/>
          <w:u w:val="single"/>
        </w:rPr>
        <mc:AlternateContent>
          <mc:Choice Requires="wps">
            <w:drawing>
              <wp:anchor distT="0" distB="0" distL="114300" distR="114300" simplePos="0" relativeHeight="251661312" behindDoc="0" locked="0" layoutInCell="1" allowOverlap="1" wp14:anchorId="59260126" wp14:editId="71DC54B8">
                <wp:simplePos x="0" y="0"/>
                <wp:positionH relativeFrom="column">
                  <wp:posOffset>26035</wp:posOffset>
                </wp:positionH>
                <wp:positionV relativeFrom="paragraph">
                  <wp:posOffset>41275</wp:posOffset>
                </wp:positionV>
                <wp:extent cx="5303520" cy="8255"/>
                <wp:effectExtent l="0" t="0" r="1143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88573A1"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" strokeweight="1.25pt">
                <v:stroke dashstyle="dash"/>
              </v:shape>
            </w:pict>
          </mc:Fallback>
        </mc:AlternateContent>
      </w:r>
    </w:p>
    <w:p w14:paraId="1FDC6566" w14:textId="77777777" w:rsidR="00E05D97" w:rsidRPr="00FD1749" w:rsidRDefault="00293057" w:rsidP="00E05D97">
      <w:pPr>
        <w:spacing w:line="360" w:lineRule="auto"/>
        <w:ind w:firstLineChars="200" w:firstLine="482"/>
        <w:jc w:val="left"/>
        <w:rPr>
          <w:rFonts w:ascii="Arial" w:hAnsi="Arial" w:cs="Arial"/>
          <w:b/>
          <w:color w:val="000000"/>
          <w:sz w:val="24"/>
          <w:u w:val="single"/>
        </w:rPr>
      </w:pPr>
      <w:r w:rsidRPr="00FD1749">
        <w:rPr>
          <w:rFonts w:ascii="Arial" w:hAnsi="Arial" w:cs="Arial" w:hint="eastAsia"/>
          <w:b/>
          <w:color w:val="000000"/>
          <w:sz w:val="24"/>
          <w:u w:val="single"/>
        </w:rPr>
        <w:t>您应当已经完整阅读基金合同、招募说明书、份额发售公告等法律文件，充分理解权利、义务及基金的风险收益特征，并愿意承担相应的投资风险。本揭示书将向您重点揭示产品的</w:t>
      </w:r>
      <w:r w:rsidR="00E05D97" w:rsidRPr="00FD1749">
        <w:rPr>
          <w:rFonts w:ascii="Arial" w:hAnsi="Arial" w:cs="Arial" w:hint="eastAsia"/>
          <w:b/>
          <w:color w:val="000000"/>
          <w:sz w:val="24"/>
          <w:u w:val="single"/>
        </w:rPr>
        <w:t>相关服务机构、主要费用、产品期限、特有风险、特定安排、您的重要权利与义务、信息披露、冷静期和回访、投诉及争端解决方式等事项。</w:t>
      </w:r>
    </w:p>
    <w:p w14:paraId="652AC7D4" w14:textId="77777777" w:rsidR="004E30DC" w:rsidRPr="00FD1749" w:rsidRDefault="004E30DC" w:rsidP="004E30DC">
      <w:pPr>
        <w:spacing w:line="360" w:lineRule="auto"/>
        <w:ind w:firstLineChars="200" w:firstLine="480"/>
        <w:jc w:val="left"/>
        <w:rPr>
          <w:rFonts w:hAnsi="宋体"/>
          <w:color w:val="000000"/>
          <w:sz w:val="24"/>
        </w:rPr>
      </w:pPr>
      <w:r w:rsidRPr="00FD1749">
        <w:rPr>
          <w:rFonts w:hAnsi="宋体" w:hint="eastAsia"/>
          <w:color w:val="000000"/>
          <w:sz w:val="24"/>
        </w:rPr>
        <w:t>一</w:t>
      </w:r>
      <w:r w:rsidRPr="00FD1749">
        <w:rPr>
          <w:rFonts w:hAnsi="宋体"/>
          <w:color w:val="000000"/>
          <w:sz w:val="24"/>
        </w:rPr>
        <w:t>、</w:t>
      </w:r>
      <w:r w:rsidRPr="00FD1749">
        <w:rPr>
          <w:rFonts w:hAnsi="宋体" w:hint="eastAsia"/>
          <w:color w:val="000000"/>
          <w:sz w:val="24"/>
        </w:rPr>
        <w:t>本基金基金</w:t>
      </w:r>
      <w:r w:rsidRPr="00FD1749">
        <w:rPr>
          <w:rFonts w:hAnsi="宋体"/>
          <w:color w:val="000000"/>
          <w:sz w:val="24"/>
        </w:rPr>
        <w:t>管理人</w:t>
      </w:r>
      <w:r w:rsidRPr="00FD1749">
        <w:rPr>
          <w:rFonts w:hAnsi="宋体" w:hint="eastAsia"/>
          <w:color w:val="000000"/>
          <w:sz w:val="24"/>
        </w:rPr>
        <w:t>、</w:t>
      </w:r>
      <w:r w:rsidRPr="00FD1749">
        <w:rPr>
          <w:rFonts w:hAnsi="宋体"/>
          <w:color w:val="000000"/>
          <w:sz w:val="24"/>
        </w:rPr>
        <w:t>登记机构</w:t>
      </w:r>
      <w:r w:rsidRPr="00FD1749">
        <w:rPr>
          <w:rFonts w:hAnsi="宋体" w:hint="eastAsia"/>
          <w:color w:val="000000"/>
          <w:sz w:val="24"/>
        </w:rPr>
        <w:t>、</w:t>
      </w:r>
      <w:r w:rsidRPr="00FD1749">
        <w:rPr>
          <w:rFonts w:hAnsi="宋体"/>
          <w:color w:val="000000"/>
          <w:sz w:val="24"/>
        </w:rPr>
        <w:t>直销机构</w:t>
      </w:r>
      <w:r w:rsidRPr="00FD1749">
        <w:rPr>
          <w:rFonts w:hAnsi="宋体" w:hint="eastAsia"/>
          <w:color w:val="000000"/>
          <w:sz w:val="24"/>
        </w:rPr>
        <w:t>为</w:t>
      </w:r>
      <w:r w:rsidRPr="00FD1749">
        <w:rPr>
          <w:rFonts w:hAnsi="宋体"/>
          <w:color w:val="000000"/>
          <w:sz w:val="24"/>
        </w:rPr>
        <w:t>财通基金管理有限公司，</w:t>
      </w:r>
      <w:r w:rsidRPr="00FD1749">
        <w:rPr>
          <w:rFonts w:hAnsi="宋体" w:hint="eastAsia"/>
          <w:color w:val="000000"/>
          <w:sz w:val="24"/>
        </w:rPr>
        <w:t>基金</w:t>
      </w:r>
      <w:r w:rsidRPr="00FD1749">
        <w:rPr>
          <w:rFonts w:hAnsi="宋体"/>
          <w:color w:val="000000"/>
          <w:sz w:val="24"/>
        </w:rPr>
        <w:t>托管人为</w:t>
      </w:r>
      <w:r w:rsidRPr="00FD1749">
        <w:rPr>
          <w:rFonts w:hAnsi="宋体" w:hint="eastAsia"/>
          <w:color w:val="000000"/>
          <w:sz w:val="24"/>
        </w:rPr>
        <w:t>上海浦东发展</w:t>
      </w:r>
      <w:r w:rsidRPr="00FD1749">
        <w:rPr>
          <w:rFonts w:hAnsi="宋体"/>
          <w:color w:val="000000"/>
          <w:sz w:val="24"/>
        </w:rPr>
        <w:t>银行股份有限公司</w:t>
      </w:r>
      <w:r w:rsidRPr="00FD1749">
        <w:rPr>
          <w:rFonts w:hAnsi="宋体" w:hint="eastAsia"/>
          <w:color w:val="000000"/>
          <w:sz w:val="24"/>
        </w:rPr>
        <w:t>，</w:t>
      </w:r>
      <w:r w:rsidRPr="00FD1749">
        <w:rPr>
          <w:rFonts w:hAnsi="宋体"/>
          <w:color w:val="000000"/>
          <w:sz w:val="24"/>
        </w:rPr>
        <w:t>基金代销机构详见</w:t>
      </w:r>
      <w:r w:rsidRPr="00FD1749">
        <w:rPr>
          <w:rFonts w:hAnsi="宋体" w:hint="eastAsia"/>
          <w:color w:val="000000"/>
          <w:sz w:val="24"/>
        </w:rPr>
        <w:t>基金</w:t>
      </w:r>
      <w:r w:rsidRPr="00FD1749">
        <w:rPr>
          <w:rFonts w:hAnsi="宋体"/>
          <w:color w:val="000000"/>
          <w:sz w:val="24"/>
        </w:rPr>
        <w:t>管理人官方网站</w:t>
      </w:r>
      <w:r w:rsidRPr="00FD1749">
        <w:rPr>
          <w:rFonts w:hAnsi="宋体" w:hint="eastAsia"/>
          <w:color w:val="000000"/>
          <w:sz w:val="24"/>
        </w:rPr>
        <w:t>（</w:t>
      </w:r>
      <w:hyperlink r:id="rId8" w:history="1">
        <w:r w:rsidRPr="00FD1749">
          <w:rPr>
            <w:rStyle w:val="ae"/>
            <w:rFonts w:hAnsi="宋体"/>
            <w:sz w:val="24"/>
          </w:rPr>
          <w:t>www.ctfund.com</w:t>
        </w:r>
      </w:hyperlink>
      <w:r w:rsidRPr="00FD1749">
        <w:rPr>
          <w:rFonts w:hAnsi="宋体" w:hint="eastAsia"/>
          <w:color w:val="000000"/>
          <w:sz w:val="24"/>
        </w:rPr>
        <w:t>）。</w:t>
      </w:r>
    </w:p>
    <w:p w14:paraId="3540FEB0" w14:textId="77777777" w:rsidR="004E30DC" w:rsidRPr="00FD1749" w:rsidRDefault="004E30DC" w:rsidP="004E30DC">
      <w:pPr>
        <w:spacing w:line="360" w:lineRule="auto"/>
        <w:ind w:firstLineChars="200" w:firstLine="480"/>
        <w:jc w:val="left"/>
        <w:rPr>
          <w:rFonts w:hAnsi="宋体"/>
          <w:color w:val="000000"/>
          <w:sz w:val="24"/>
        </w:rPr>
      </w:pPr>
      <w:r w:rsidRPr="00FD1749">
        <w:rPr>
          <w:rFonts w:hAnsi="宋体" w:hint="eastAsia"/>
          <w:color w:val="000000"/>
          <w:sz w:val="24"/>
        </w:rPr>
        <w:t>二</w:t>
      </w:r>
      <w:r w:rsidRPr="00FD1749">
        <w:rPr>
          <w:rFonts w:hAnsi="宋体"/>
          <w:color w:val="000000"/>
          <w:sz w:val="24"/>
        </w:rPr>
        <w:t>、本基金</w:t>
      </w:r>
      <w:r w:rsidRPr="00FD1749">
        <w:rPr>
          <w:rFonts w:hAnsi="宋体" w:hint="eastAsia"/>
          <w:color w:val="000000"/>
          <w:sz w:val="24"/>
        </w:rPr>
        <w:t>支付</w:t>
      </w:r>
      <w:r w:rsidR="00AC350A" w:rsidRPr="00FD1749">
        <w:rPr>
          <w:rFonts w:hAnsi="宋体" w:hint="eastAsia"/>
          <w:color w:val="000000"/>
          <w:sz w:val="24"/>
        </w:rPr>
        <w:t>基金</w:t>
      </w:r>
      <w:r w:rsidRPr="00FD1749">
        <w:rPr>
          <w:rFonts w:hAnsi="宋体"/>
          <w:color w:val="000000"/>
          <w:sz w:val="24"/>
        </w:rPr>
        <w:t>管理人的</w:t>
      </w:r>
      <w:r w:rsidRPr="00FD1749">
        <w:rPr>
          <w:rFonts w:hAnsi="宋体" w:hint="eastAsia"/>
          <w:color w:val="000000"/>
          <w:sz w:val="24"/>
        </w:rPr>
        <w:t>年</w:t>
      </w:r>
      <w:r w:rsidRPr="00FD1749">
        <w:rPr>
          <w:rFonts w:hAnsi="宋体"/>
          <w:color w:val="000000"/>
          <w:sz w:val="24"/>
        </w:rPr>
        <w:t>管理费率为</w:t>
      </w:r>
      <w:r w:rsidRPr="00FD1749">
        <w:rPr>
          <w:rFonts w:hAnsi="宋体" w:hint="eastAsia"/>
          <w:color w:val="000000"/>
          <w:sz w:val="24"/>
        </w:rPr>
        <w:t>0.15</w:t>
      </w:r>
      <w:r w:rsidRPr="00FD1749">
        <w:rPr>
          <w:rFonts w:hAnsi="宋体"/>
          <w:color w:val="000000"/>
          <w:sz w:val="24"/>
        </w:rPr>
        <w:t>%</w:t>
      </w:r>
      <w:r w:rsidRPr="00FD1749">
        <w:rPr>
          <w:rFonts w:hAnsi="宋体" w:hint="eastAsia"/>
          <w:color w:val="000000"/>
          <w:sz w:val="24"/>
        </w:rPr>
        <w:t>，支付</w:t>
      </w:r>
      <w:r w:rsidRPr="00FD1749">
        <w:rPr>
          <w:rFonts w:hAnsi="宋体"/>
          <w:color w:val="000000"/>
          <w:sz w:val="24"/>
        </w:rPr>
        <w:t>基金托管人的年</w:t>
      </w:r>
      <w:r w:rsidRPr="00FD1749">
        <w:rPr>
          <w:rFonts w:hAnsi="宋体" w:hint="eastAsia"/>
          <w:color w:val="000000"/>
          <w:sz w:val="24"/>
        </w:rPr>
        <w:t>托管</w:t>
      </w:r>
      <w:r w:rsidRPr="00FD1749">
        <w:rPr>
          <w:rFonts w:hAnsi="宋体"/>
          <w:color w:val="000000"/>
          <w:sz w:val="24"/>
        </w:rPr>
        <w:t>费率为</w:t>
      </w:r>
      <w:r w:rsidRPr="00FD1749">
        <w:rPr>
          <w:rFonts w:hAnsi="宋体" w:hint="eastAsia"/>
          <w:color w:val="000000"/>
          <w:sz w:val="24"/>
        </w:rPr>
        <w:t>0.05</w:t>
      </w:r>
      <w:r w:rsidRPr="00FD1749">
        <w:rPr>
          <w:rFonts w:hAnsi="宋体"/>
          <w:color w:val="000000"/>
          <w:sz w:val="24"/>
        </w:rPr>
        <w:t>%</w:t>
      </w:r>
      <w:r w:rsidRPr="00FD1749">
        <w:rPr>
          <w:rFonts w:hAnsi="宋体" w:hint="eastAsia"/>
          <w:color w:val="000000"/>
          <w:sz w:val="24"/>
        </w:rPr>
        <w:t>，其他费用详见招募说明书</w:t>
      </w:r>
      <w:r w:rsidRPr="00FD1749">
        <w:rPr>
          <w:rFonts w:hAnsi="宋体"/>
          <w:color w:val="000000"/>
          <w:sz w:val="24"/>
        </w:rPr>
        <w:t>。</w:t>
      </w:r>
    </w:p>
    <w:p w14:paraId="19776448" w14:textId="77777777" w:rsidR="004E30DC" w:rsidRPr="00FD1749" w:rsidRDefault="004E30DC" w:rsidP="004E30DC">
      <w:pPr>
        <w:spacing w:line="360" w:lineRule="auto"/>
        <w:ind w:firstLineChars="200" w:firstLine="480"/>
        <w:jc w:val="left"/>
        <w:rPr>
          <w:rFonts w:ascii="宋体" w:hAnsi="宋体"/>
          <w:color w:val="000000"/>
          <w:sz w:val="24"/>
        </w:rPr>
      </w:pPr>
      <w:r w:rsidRPr="00FD1749">
        <w:rPr>
          <w:rFonts w:hAnsi="宋体" w:hint="eastAsia"/>
          <w:color w:val="000000"/>
          <w:sz w:val="24"/>
        </w:rPr>
        <w:t>三</w:t>
      </w:r>
      <w:r w:rsidRPr="00FD1749">
        <w:rPr>
          <w:rFonts w:hAnsi="宋体"/>
          <w:color w:val="000000"/>
          <w:sz w:val="24"/>
        </w:rPr>
        <w:t>、</w:t>
      </w:r>
      <w:r w:rsidRPr="00FD1749">
        <w:rPr>
          <w:rFonts w:hAnsi="宋体" w:hint="eastAsia"/>
          <w:color w:val="000000"/>
          <w:sz w:val="24"/>
        </w:rPr>
        <w:t>本基金基金</w:t>
      </w:r>
      <w:r w:rsidRPr="00FD1749">
        <w:rPr>
          <w:rFonts w:hAnsi="宋体"/>
          <w:color w:val="000000"/>
          <w:sz w:val="24"/>
        </w:rPr>
        <w:t>合同期限不定，</w:t>
      </w:r>
      <w:r w:rsidRPr="00FD1749">
        <w:rPr>
          <w:rFonts w:ascii="宋体" w:hAnsi="宋体" w:hint="eastAsia"/>
          <w:color w:val="000000"/>
          <w:sz w:val="24"/>
        </w:rPr>
        <w:t>以封闭期和开放期滚动的方式运作，封闭期为自基金合同生效之日起（包括基金合同生效之日）或自每一开放期结束之日次日起（包括该日）63</w:t>
      </w:r>
      <w:r w:rsidRPr="00FD1749">
        <w:rPr>
          <w:rFonts w:ascii="宋体" w:hAnsi="宋体"/>
          <w:color w:val="000000"/>
          <w:sz w:val="24"/>
        </w:rPr>
        <w:t>个月</w:t>
      </w:r>
      <w:r w:rsidRPr="00FD1749">
        <w:rPr>
          <w:rFonts w:ascii="宋体" w:hAnsi="宋体" w:hint="eastAsia"/>
          <w:color w:val="000000"/>
          <w:sz w:val="24"/>
        </w:rPr>
        <w:t>的期间。</w:t>
      </w:r>
    </w:p>
    <w:p w14:paraId="144ED66E" w14:textId="77777777" w:rsidR="004E30DC" w:rsidRPr="00FD1749" w:rsidRDefault="004E30DC" w:rsidP="004E30DC">
      <w:pPr>
        <w:spacing w:line="360" w:lineRule="auto"/>
        <w:ind w:firstLineChars="200" w:firstLine="480"/>
        <w:jc w:val="left"/>
        <w:rPr>
          <w:color w:val="000000"/>
          <w:sz w:val="24"/>
        </w:rPr>
      </w:pPr>
      <w:r w:rsidRPr="00FD1749">
        <w:rPr>
          <w:rFonts w:ascii="宋体" w:hAnsi="宋体" w:hint="eastAsia"/>
          <w:color w:val="000000"/>
          <w:sz w:val="24"/>
        </w:rPr>
        <w:t>四</w:t>
      </w:r>
      <w:r w:rsidRPr="00FD1749">
        <w:rPr>
          <w:rFonts w:ascii="宋体" w:hAnsi="宋体"/>
          <w:color w:val="000000"/>
          <w:sz w:val="24"/>
        </w:rPr>
        <w:t>、</w:t>
      </w:r>
      <w:r w:rsidRPr="00FD1749">
        <w:rPr>
          <w:color w:val="000000"/>
          <w:sz w:val="24"/>
        </w:rPr>
        <w:t>基金管理人依照恪尽职守、诚实信用、谨慎勤勉的原则管理和运用基金财产，但不保证基金一定盈利，也不保证最低收益。</w:t>
      </w:r>
      <w:r w:rsidRPr="00FD1749">
        <w:rPr>
          <w:rFonts w:hint="eastAsia"/>
          <w:color w:val="000000"/>
          <w:sz w:val="24"/>
        </w:rPr>
        <w:t>投资者</w:t>
      </w:r>
      <w:r w:rsidRPr="00FD1749">
        <w:rPr>
          <w:color w:val="000000"/>
          <w:sz w:val="24"/>
        </w:rPr>
        <w:t>投资于</w:t>
      </w:r>
      <w:r w:rsidRPr="00FD1749">
        <w:rPr>
          <w:rFonts w:hint="eastAsia"/>
          <w:color w:val="000000"/>
          <w:sz w:val="24"/>
        </w:rPr>
        <w:t>本基金，</w:t>
      </w:r>
      <w:r w:rsidRPr="00FD1749">
        <w:rPr>
          <w:color w:val="000000"/>
          <w:sz w:val="24"/>
        </w:rPr>
        <w:t>极端情况下可能</w:t>
      </w:r>
      <w:r w:rsidRPr="00FD1749">
        <w:rPr>
          <w:rFonts w:hint="eastAsia"/>
          <w:color w:val="000000"/>
          <w:sz w:val="24"/>
        </w:rPr>
        <w:t>存在</w:t>
      </w:r>
      <w:r w:rsidRPr="00FD1749">
        <w:rPr>
          <w:color w:val="000000"/>
          <w:sz w:val="24"/>
        </w:rPr>
        <w:t>损失全部投资本金</w:t>
      </w:r>
      <w:r w:rsidRPr="00FD1749">
        <w:rPr>
          <w:rFonts w:hint="eastAsia"/>
          <w:color w:val="000000"/>
          <w:sz w:val="24"/>
        </w:rPr>
        <w:t>的</w:t>
      </w:r>
      <w:r w:rsidRPr="00FD1749">
        <w:rPr>
          <w:color w:val="000000"/>
          <w:sz w:val="24"/>
        </w:rPr>
        <w:t>情况</w:t>
      </w:r>
      <w:r w:rsidRPr="00FD1749">
        <w:rPr>
          <w:rFonts w:hint="eastAsia"/>
          <w:color w:val="000000"/>
          <w:sz w:val="24"/>
        </w:rPr>
        <w:t>。</w:t>
      </w:r>
    </w:p>
    <w:p w14:paraId="2F84FD3F" w14:textId="77777777" w:rsidR="00554F60" w:rsidRPr="00FD1749" w:rsidRDefault="008F7871" w:rsidP="00FD1749">
      <w:pPr>
        <w:spacing w:line="360" w:lineRule="auto"/>
        <w:ind w:firstLineChars="200" w:firstLine="480"/>
        <w:jc w:val="left"/>
        <w:rPr>
          <w:rFonts w:ascii="宋体" w:hAnsi="宋体"/>
          <w:color w:val="000000"/>
          <w:sz w:val="24"/>
        </w:rPr>
      </w:pPr>
      <w:r w:rsidRPr="00FD1749">
        <w:rPr>
          <w:rFonts w:ascii="宋体" w:hAnsi="宋体" w:hint="eastAsia"/>
          <w:color w:val="000000"/>
          <w:sz w:val="24"/>
        </w:rPr>
        <w:t>五、本基金的特有风险：</w:t>
      </w:r>
    </w:p>
    <w:p w14:paraId="1BF43813" w14:textId="77777777" w:rsidR="00A07080" w:rsidRPr="00FD1749" w:rsidRDefault="00E957F9" w:rsidP="00E957F9">
      <w:pPr>
        <w:spacing w:line="360" w:lineRule="auto"/>
        <w:ind w:firstLineChars="200" w:firstLine="482"/>
        <w:jc w:val="left"/>
        <w:rPr>
          <w:b/>
          <w:color w:val="000000"/>
          <w:sz w:val="24"/>
        </w:rPr>
      </w:pPr>
      <w:r w:rsidRPr="00FD1749">
        <w:rPr>
          <w:rFonts w:hint="eastAsia"/>
          <w:b/>
          <w:color w:val="000000"/>
          <w:sz w:val="24"/>
        </w:rPr>
        <w:t>本基金为债券型基金，</w:t>
      </w:r>
      <w:r w:rsidR="00A07080" w:rsidRPr="00FD1749">
        <w:rPr>
          <w:rFonts w:hint="eastAsia"/>
          <w:b/>
          <w:color w:val="000000"/>
          <w:sz w:val="24"/>
        </w:rPr>
        <w:t>风险等级为</w:t>
      </w:r>
      <w:r w:rsidR="00A07080" w:rsidRPr="00FD1749">
        <w:rPr>
          <w:rFonts w:hint="eastAsia"/>
          <w:b/>
          <w:color w:val="000000"/>
          <w:sz w:val="24"/>
        </w:rPr>
        <w:t>R</w:t>
      </w:r>
      <w:r w:rsidR="00D83734" w:rsidRPr="00FD1749">
        <w:rPr>
          <w:rFonts w:hint="eastAsia"/>
          <w:b/>
          <w:color w:val="000000"/>
          <w:sz w:val="24"/>
        </w:rPr>
        <w:t>2</w:t>
      </w:r>
      <w:r w:rsidR="00A07080" w:rsidRPr="00FD1749">
        <w:rPr>
          <w:rFonts w:hint="eastAsia"/>
          <w:b/>
          <w:color w:val="000000"/>
          <w:sz w:val="24"/>
        </w:rPr>
        <w:t>等级。</w:t>
      </w:r>
    </w:p>
    <w:p w14:paraId="0317F0BF" w14:textId="77777777" w:rsidR="004E30DC" w:rsidRPr="00FD1749" w:rsidRDefault="004E30DC" w:rsidP="004E30DC">
      <w:pPr>
        <w:spacing w:line="360" w:lineRule="auto"/>
        <w:ind w:firstLineChars="200" w:firstLine="480"/>
        <w:rPr>
          <w:color w:val="000000"/>
          <w:sz w:val="24"/>
        </w:rPr>
      </w:pPr>
      <w:r w:rsidRPr="00FD1749">
        <w:rPr>
          <w:rFonts w:hint="eastAsia"/>
          <w:color w:val="000000"/>
          <w:sz w:val="24"/>
        </w:rPr>
        <w:t>1</w:t>
      </w:r>
      <w:r w:rsidRPr="00FD1749">
        <w:rPr>
          <w:rFonts w:hint="eastAsia"/>
          <w:color w:val="000000"/>
          <w:sz w:val="24"/>
        </w:rPr>
        <w:t>、本基金投资于债券资产比例不低于基金资产的</w:t>
      </w:r>
      <w:r w:rsidRPr="00FD1749">
        <w:rPr>
          <w:rFonts w:hint="eastAsia"/>
          <w:color w:val="000000"/>
          <w:sz w:val="24"/>
        </w:rPr>
        <w:t>80%</w:t>
      </w:r>
      <w:r w:rsidRPr="00FD1749">
        <w:rPr>
          <w:rFonts w:hint="eastAsia"/>
          <w:color w:val="000000"/>
          <w:sz w:val="24"/>
        </w:rPr>
        <w:t>，应开放期流动性需要，为保护持有人利益，本基金开放期开始前</w:t>
      </w:r>
      <w:r w:rsidRPr="00FD1749">
        <w:rPr>
          <w:rFonts w:hint="eastAsia"/>
          <w:color w:val="000000"/>
          <w:sz w:val="24"/>
        </w:rPr>
        <w:t>3</w:t>
      </w:r>
      <w:r w:rsidRPr="00FD1749">
        <w:rPr>
          <w:rFonts w:hint="eastAsia"/>
          <w:color w:val="000000"/>
          <w:sz w:val="24"/>
        </w:rPr>
        <w:t>个月、开放期以及开放期结束后的</w:t>
      </w:r>
      <w:r w:rsidRPr="00FD1749">
        <w:rPr>
          <w:rFonts w:hint="eastAsia"/>
          <w:color w:val="000000"/>
          <w:sz w:val="24"/>
        </w:rPr>
        <w:t>3</w:t>
      </w:r>
      <w:r w:rsidRPr="00FD1749">
        <w:rPr>
          <w:rFonts w:hint="eastAsia"/>
          <w:color w:val="000000"/>
          <w:sz w:val="24"/>
        </w:rPr>
        <w:t>个月内，本基金的债券资产的投资比例可不受上述限制。债券的特定风险即成为本基金及投资者主要面对的特定投资风险。债券的投资收益会受到宏观经济、政府产业政策、货币政策、市场需求变化、行业波动等因素的影响。</w:t>
      </w:r>
    </w:p>
    <w:p w14:paraId="487B7992" w14:textId="77777777" w:rsidR="004E30DC" w:rsidRPr="00FD1749" w:rsidRDefault="004E30DC" w:rsidP="004E30DC">
      <w:pPr>
        <w:spacing w:line="360" w:lineRule="auto"/>
        <w:ind w:firstLineChars="200" w:firstLine="480"/>
        <w:rPr>
          <w:color w:val="000000"/>
          <w:sz w:val="24"/>
        </w:rPr>
      </w:pPr>
      <w:r w:rsidRPr="00FD1749">
        <w:rPr>
          <w:rFonts w:hint="eastAsia"/>
          <w:color w:val="000000"/>
          <w:sz w:val="24"/>
        </w:rPr>
        <w:t>2</w:t>
      </w:r>
      <w:r w:rsidRPr="00FD1749">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w:t>
      </w:r>
      <w:r w:rsidRPr="00FD1749">
        <w:rPr>
          <w:rFonts w:hint="eastAsia"/>
          <w:color w:val="000000"/>
          <w:sz w:val="24"/>
        </w:rPr>
        <w:lastRenderedPageBreak/>
        <w:t>险高。</w:t>
      </w:r>
    </w:p>
    <w:p w14:paraId="43F3B9FF" w14:textId="77777777" w:rsidR="004E30DC" w:rsidRPr="00FD1749" w:rsidRDefault="004E30DC" w:rsidP="004E30DC">
      <w:pPr>
        <w:spacing w:line="360" w:lineRule="auto"/>
        <w:ind w:firstLineChars="200" w:firstLine="480"/>
        <w:rPr>
          <w:color w:val="000000"/>
          <w:sz w:val="24"/>
        </w:rPr>
      </w:pPr>
      <w:r w:rsidRPr="00FD1749">
        <w:rPr>
          <w:rFonts w:hint="eastAsia"/>
          <w:color w:val="000000"/>
          <w:sz w:val="24"/>
        </w:rPr>
        <w:t>3</w:t>
      </w:r>
      <w:r w:rsidRPr="00FD1749">
        <w:rPr>
          <w:rFonts w:hint="eastAsia"/>
          <w:color w:val="000000"/>
          <w:sz w:val="24"/>
        </w:rPr>
        <w:t>、基金封闭期到期日因部分资产无法变现或者无法以合理价格变现导致基金部分资产尚未变现的，基金将暂停进入下一开放期，封闭期结束的下一个工作日，基金份额应全部自动赎回，按已变现的基金财产支付部分赎回款项，未变现资产对应赎回款延缓支付，待该部分资产变现后支付剩余赎回款。赎回价格按全部资产最终变现净额确定。基金管理人应就上述延缓支付部分赎回款项的原因和安排在封闭期结束后的下一个工作日发布公告并提示最终赎回价格与封闭期到期日的净值可能存在差异的风险。</w:t>
      </w:r>
    </w:p>
    <w:p w14:paraId="783341F3" w14:textId="77777777" w:rsidR="004E30DC" w:rsidRPr="00FD1749" w:rsidRDefault="004E30DC" w:rsidP="004E30DC">
      <w:pPr>
        <w:spacing w:line="360" w:lineRule="auto"/>
        <w:ind w:firstLineChars="200" w:firstLine="480"/>
        <w:rPr>
          <w:color w:val="000000"/>
          <w:sz w:val="24"/>
        </w:rPr>
      </w:pPr>
      <w:r w:rsidRPr="00FD1749">
        <w:rPr>
          <w:rFonts w:hint="eastAsia"/>
          <w:color w:val="000000"/>
          <w:sz w:val="24"/>
        </w:rPr>
        <w:t>4</w:t>
      </w:r>
      <w:r w:rsidRPr="00FD1749">
        <w:rPr>
          <w:rFonts w:hint="eastAsia"/>
          <w:color w:val="000000"/>
          <w:sz w:val="24"/>
        </w:rPr>
        <w:t>、本基金采用摊余成本法估值。摊余成本法估值不等同于保本，基金资产发生计提减值准备可能导致基金份额净值下跌。</w:t>
      </w:r>
    </w:p>
    <w:p w14:paraId="61761112" w14:textId="77777777" w:rsidR="004E30DC" w:rsidRPr="00FD1749" w:rsidRDefault="004E30DC" w:rsidP="004E30DC">
      <w:pPr>
        <w:spacing w:line="360" w:lineRule="auto"/>
        <w:ind w:firstLineChars="200" w:firstLine="480"/>
        <w:rPr>
          <w:color w:val="000000"/>
          <w:sz w:val="24"/>
        </w:rPr>
      </w:pPr>
      <w:r w:rsidRPr="00FD1749">
        <w:rPr>
          <w:rFonts w:hint="eastAsia"/>
          <w:color w:val="000000"/>
          <w:sz w:val="24"/>
        </w:rPr>
        <w:t>5</w:t>
      </w:r>
      <w:r w:rsidRPr="00FD1749">
        <w:rPr>
          <w:rFonts w:hint="eastAsia"/>
          <w:color w:val="000000"/>
          <w:sz w:val="24"/>
        </w:rPr>
        <w:t>、本基金由于封闭期内采用买入持有到期投资策略，一般情况下，持有的固定收益类品种和结构在封闭期内不会发生变化，在行情波动时，可能损失一定的交易收益。</w:t>
      </w:r>
    </w:p>
    <w:p w14:paraId="0979BAE1" w14:textId="77777777" w:rsidR="004E30DC" w:rsidRPr="00FD1749" w:rsidRDefault="004E30DC" w:rsidP="004E30DC">
      <w:pPr>
        <w:spacing w:line="360" w:lineRule="auto"/>
        <w:ind w:firstLineChars="200" w:firstLine="480"/>
        <w:rPr>
          <w:color w:val="000000"/>
          <w:sz w:val="24"/>
        </w:rPr>
      </w:pPr>
      <w:r w:rsidRPr="00FD1749">
        <w:rPr>
          <w:rFonts w:hint="eastAsia"/>
          <w:color w:val="000000"/>
          <w:sz w:val="24"/>
        </w:rPr>
        <w:t>6</w:t>
      </w:r>
      <w:r w:rsidRPr="00FD1749">
        <w:rPr>
          <w:rFonts w:hint="eastAsia"/>
          <w:color w:val="000000"/>
          <w:sz w:val="24"/>
        </w:rPr>
        <w:t>、本基金自基金合同生效之日（含）起或每一个开放期结束之日次日（含）起至</w:t>
      </w:r>
      <w:r w:rsidRPr="00FD1749">
        <w:rPr>
          <w:rFonts w:hint="eastAsia"/>
          <w:color w:val="000000"/>
          <w:sz w:val="24"/>
        </w:rPr>
        <w:t>63</w:t>
      </w:r>
      <w:r w:rsidRPr="00FD1749">
        <w:rPr>
          <w:rFonts w:hint="eastAsia"/>
          <w:color w:val="000000"/>
          <w:sz w:val="24"/>
        </w:rPr>
        <w:t>个月后的对应日（如该对应日为非工作日或日历月度中不存在该对应日期的，则顺延至下一工作日）的前一日（含）止的期间封闭运作，不办理申购与赎回业务，也不上市交易。因此，若基金份额持有人错过某一开放期而未能赎回，其基金份额将转入下一封闭期，至下一开放期方可赎回。</w:t>
      </w:r>
    </w:p>
    <w:p w14:paraId="1E030D53" w14:textId="77777777" w:rsidR="004E30DC" w:rsidRPr="00FD1749" w:rsidRDefault="004E30DC" w:rsidP="004E30DC">
      <w:pPr>
        <w:spacing w:line="360" w:lineRule="auto"/>
        <w:ind w:firstLineChars="200" w:firstLine="480"/>
        <w:jc w:val="left"/>
        <w:rPr>
          <w:bCs/>
          <w:color w:val="000000"/>
          <w:sz w:val="24"/>
        </w:rPr>
      </w:pPr>
      <w:r w:rsidRPr="00FD1749">
        <w:rPr>
          <w:rFonts w:hint="eastAsia"/>
          <w:bCs/>
          <w:color w:val="000000"/>
          <w:sz w:val="24"/>
        </w:rPr>
        <w:t>六</w:t>
      </w:r>
      <w:r w:rsidRPr="00FD1749">
        <w:rPr>
          <w:bCs/>
          <w:color w:val="000000"/>
          <w:sz w:val="24"/>
        </w:rPr>
        <w:t>、本基金的其他风险</w:t>
      </w:r>
    </w:p>
    <w:p w14:paraId="7622FCD8" w14:textId="77777777" w:rsidR="004E30DC" w:rsidRPr="00FD1749" w:rsidRDefault="004E30DC" w:rsidP="004E30DC">
      <w:pPr>
        <w:spacing w:line="360" w:lineRule="auto"/>
        <w:ind w:firstLineChars="200" w:firstLine="480"/>
        <w:jc w:val="left"/>
        <w:rPr>
          <w:rFonts w:ascii="Arial" w:hAnsi="Arial" w:cs="Arial"/>
          <w:color w:val="000000"/>
          <w:sz w:val="24"/>
        </w:rPr>
      </w:pPr>
      <w:r w:rsidRPr="00FD1749">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14:paraId="374AE68D" w14:textId="77777777" w:rsidR="004E30DC" w:rsidRPr="00FD1749" w:rsidRDefault="004E30DC" w:rsidP="004E30DC">
      <w:pPr>
        <w:spacing w:line="360" w:lineRule="auto"/>
        <w:ind w:firstLineChars="200" w:firstLine="480"/>
        <w:rPr>
          <w:color w:val="000000" w:themeColor="text1"/>
          <w:sz w:val="24"/>
        </w:rPr>
      </w:pPr>
      <w:r w:rsidRPr="00FD1749">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4F7B8145" w14:textId="77777777" w:rsidR="004E30DC" w:rsidRPr="00FD1749" w:rsidRDefault="004E30DC" w:rsidP="004E30DC">
      <w:pPr>
        <w:spacing w:line="360" w:lineRule="auto"/>
        <w:ind w:firstLineChars="200" w:firstLine="480"/>
        <w:rPr>
          <w:color w:val="000000" w:themeColor="text1"/>
          <w:sz w:val="24"/>
        </w:rPr>
      </w:pPr>
      <w:r w:rsidRPr="00FD1749">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w:t>
      </w:r>
      <w:r w:rsidRPr="00FD1749">
        <w:rPr>
          <w:rFonts w:hint="eastAsia"/>
          <w:color w:val="000000" w:themeColor="text1"/>
          <w:sz w:val="24"/>
        </w:rPr>
        <w:lastRenderedPageBreak/>
        <w:t>易市价，使调整后的基金资产净值更公允地反映基金资产价值，确保基金资产净值不会对基金份额持有人造成实质性的损害。</w:t>
      </w:r>
    </w:p>
    <w:p w14:paraId="501B09EF" w14:textId="77777777" w:rsidR="004E30DC" w:rsidRPr="00FD1749" w:rsidRDefault="004E30DC" w:rsidP="004E30DC">
      <w:pPr>
        <w:spacing w:line="360" w:lineRule="auto"/>
        <w:ind w:firstLineChars="200" w:firstLine="480"/>
        <w:rPr>
          <w:color w:val="000000" w:themeColor="text1"/>
          <w:sz w:val="24"/>
        </w:rPr>
      </w:pPr>
      <w:r w:rsidRPr="00FD1749">
        <w:rPr>
          <w:rFonts w:hint="eastAsia"/>
          <w:color w:val="000000" w:themeColor="text1"/>
          <w:sz w:val="24"/>
        </w:rPr>
        <w:t>本基金为契约型、定期开放式基金，基金规模将随着基金投资者对基金份额的申购和赎回而不断波动。在开放期内，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3858F5CF" w14:textId="77777777" w:rsidR="004E30DC" w:rsidRPr="00FD1749" w:rsidRDefault="004E30DC" w:rsidP="004E30DC">
      <w:pPr>
        <w:spacing w:line="360" w:lineRule="auto"/>
        <w:ind w:firstLineChars="200" w:firstLine="480"/>
        <w:jc w:val="left"/>
        <w:rPr>
          <w:rFonts w:ascii="Arial" w:hAnsi="Arial" w:cs="Arial"/>
          <w:color w:val="000000"/>
          <w:sz w:val="24"/>
        </w:rPr>
      </w:pPr>
      <w:r w:rsidRPr="00FD1749">
        <w:rPr>
          <w:rFonts w:hint="eastAsia"/>
          <w:color w:val="000000" w:themeColor="text1"/>
          <w:sz w:val="24"/>
        </w:rPr>
        <w:t>当计算机、通讯系统、交易网络等技术保障系统或信息网络支持出现异常情况，</w:t>
      </w:r>
      <w:r w:rsidRPr="00FD1749">
        <w:rPr>
          <w:color w:val="000000" w:themeColor="text1"/>
          <w:sz w:val="24"/>
        </w:rPr>
        <w:t>本基金可能面临技术风险</w:t>
      </w:r>
      <w:r w:rsidRPr="00FD1749">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47DAD3D3" w14:textId="77777777" w:rsidR="00CD6D99" w:rsidRPr="00FD1749" w:rsidRDefault="004E30DC" w:rsidP="00393F62">
      <w:pPr>
        <w:spacing w:line="360" w:lineRule="auto"/>
        <w:ind w:firstLineChars="200" w:firstLine="480"/>
        <w:jc w:val="left"/>
        <w:rPr>
          <w:bCs/>
          <w:sz w:val="24"/>
        </w:rPr>
      </w:pPr>
      <w:r w:rsidRPr="00FD1749">
        <w:rPr>
          <w:rFonts w:hint="eastAsia"/>
          <w:bCs/>
          <w:sz w:val="24"/>
        </w:rPr>
        <w:t>七、</w:t>
      </w:r>
      <w:r w:rsidR="00393F62" w:rsidRPr="00FD1749">
        <w:rPr>
          <w:rFonts w:hint="eastAsia"/>
          <w:bCs/>
          <w:sz w:val="24"/>
        </w:rPr>
        <w:t>您享有如下权利</w:t>
      </w:r>
      <w:r w:rsidR="003B5476" w:rsidRPr="00FD1749">
        <w:rPr>
          <w:rFonts w:hint="eastAsia"/>
          <w:bCs/>
          <w:sz w:val="24"/>
        </w:rPr>
        <w:t>：</w:t>
      </w:r>
      <w:r w:rsidR="00461A82" w:rsidRPr="00FD1749">
        <w:rPr>
          <w:rFonts w:hint="eastAsia"/>
          <w:bCs/>
          <w:sz w:val="24"/>
        </w:rPr>
        <w:t>1</w:t>
      </w:r>
      <w:r w:rsidR="00461A82" w:rsidRPr="00FD1749">
        <w:rPr>
          <w:rFonts w:hint="eastAsia"/>
          <w:bCs/>
          <w:sz w:val="24"/>
        </w:rPr>
        <w:t>、</w:t>
      </w:r>
      <w:r w:rsidR="00461A82" w:rsidRPr="00FD1749">
        <w:rPr>
          <w:bCs/>
          <w:sz w:val="24"/>
        </w:rPr>
        <w:t>分享基金收益；</w:t>
      </w:r>
      <w:r w:rsidR="00461A82" w:rsidRPr="00FD1749">
        <w:rPr>
          <w:rFonts w:hint="eastAsia"/>
          <w:bCs/>
          <w:sz w:val="24"/>
        </w:rPr>
        <w:t>2</w:t>
      </w:r>
      <w:r w:rsidR="00461A82" w:rsidRPr="00FD1749">
        <w:rPr>
          <w:rFonts w:hint="eastAsia"/>
          <w:bCs/>
          <w:sz w:val="24"/>
        </w:rPr>
        <w:t>、</w:t>
      </w:r>
      <w:r w:rsidR="00186CB1" w:rsidRPr="00FD1749">
        <w:rPr>
          <w:bCs/>
          <w:sz w:val="24"/>
        </w:rPr>
        <w:t>参与</w:t>
      </w:r>
      <w:r w:rsidR="00CD6D99" w:rsidRPr="00FD1749">
        <w:rPr>
          <w:bCs/>
          <w:sz w:val="24"/>
        </w:rPr>
        <w:t>清算</w:t>
      </w:r>
      <w:r w:rsidR="00186CB1" w:rsidRPr="00FD1749">
        <w:rPr>
          <w:rFonts w:hint="eastAsia"/>
          <w:bCs/>
          <w:sz w:val="24"/>
        </w:rPr>
        <w:t>分配</w:t>
      </w:r>
      <w:r w:rsidR="00CD6D99" w:rsidRPr="00FD1749">
        <w:rPr>
          <w:bCs/>
          <w:sz w:val="24"/>
        </w:rPr>
        <w:t>；</w:t>
      </w:r>
      <w:bookmarkStart w:id="0" w:name="_Hlt88825574"/>
      <w:bookmarkEnd w:id="0"/>
      <w:r w:rsidR="00461A82" w:rsidRPr="00FD1749">
        <w:rPr>
          <w:rFonts w:hint="eastAsia"/>
          <w:bCs/>
          <w:sz w:val="24"/>
        </w:rPr>
        <w:t>3</w:t>
      </w:r>
      <w:r w:rsidR="00461A82" w:rsidRPr="00FD1749">
        <w:rPr>
          <w:rFonts w:hint="eastAsia"/>
          <w:bCs/>
          <w:sz w:val="24"/>
        </w:rPr>
        <w:t>、</w:t>
      </w:r>
      <w:r w:rsidR="00461A82" w:rsidRPr="00FD1749">
        <w:rPr>
          <w:bCs/>
          <w:sz w:val="24"/>
        </w:rPr>
        <w:t>申赎或</w:t>
      </w:r>
      <w:r w:rsidR="00C97EDD" w:rsidRPr="00FD1749">
        <w:rPr>
          <w:rFonts w:hint="eastAsia"/>
          <w:bCs/>
          <w:sz w:val="24"/>
        </w:rPr>
        <w:t>依法</w:t>
      </w:r>
      <w:r w:rsidR="00461A82" w:rsidRPr="00FD1749">
        <w:rPr>
          <w:bCs/>
          <w:sz w:val="24"/>
        </w:rPr>
        <w:t>转让基金份额；</w:t>
      </w:r>
      <w:r w:rsidR="00461A82" w:rsidRPr="00FD1749">
        <w:rPr>
          <w:rFonts w:hint="eastAsia"/>
          <w:bCs/>
          <w:sz w:val="24"/>
        </w:rPr>
        <w:t>4</w:t>
      </w:r>
      <w:r w:rsidR="00461A82" w:rsidRPr="00FD1749">
        <w:rPr>
          <w:rFonts w:hint="eastAsia"/>
          <w:bCs/>
          <w:sz w:val="24"/>
        </w:rPr>
        <w:t>、</w:t>
      </w:r>
      <w:r w:rsidR="00CD6D99" w:rsidRPr="00FD1749">
        <w:rPr>
          <w:bCs/>
          <w:sz w:val="24"/>
        </w:rPr>
        <w:t>召开或召集持有人大会</w:t>
      </w:r>
      <w:r w:rsidR="00186CB1" w:rsidRPr="00FD1749">
        <w:rPr>
          <w:rFonts w:hint="eastAsia"/>
          <w:bCs/>
          <w:sz w:val="24"/>
        </w:rPr>
        <w:t>，并</w:t>
      </w:r>
      <w:r w:rsidR="00461A82" w:rsidRPr="00FD1749">
        <w:rPr>
          <w:bCs/>
          <w:sz w:val="24"/>
        </w:rPr>
        <w:t>行使表决权；</w:t>
      </w:r>
      <w:r w:rsidR="00461A82" w:rsidRPr="00FD1749">
        <w:rPr>
          <w:rFonts w:hint="eastAsia"/>
          <w:bCs/>
          <w:sz w:val="24"/>
        </w:rPr>
        <w:t>5</w:t>
      </w:r>
      <w:r w:rsidR="00461A82" w:rsidRPr="00FD1749">
        <w:rPr>
          <w:rFonts w:hint="eastAsia"/>
          <w:bCs/>
          <w:sz w:val="24"/>
        </w:rPr>
        <w:t>、</w:t>
      </w:r>
      <w:r w:rsidR="00CD6D99" w:rsidRPr="00FD1749">
        <w:rPr>
          <w:bCs/>
          <w:sz w:val="24"/>
        </w:rPr>
        <w:t>查阅或复制</w:t>
      </w:r>
      <w:r w:rsidR="00CD6D99" w:rsidRPr="00FD1749">
        <w:rPr>
          <w:rFonts w:hint="eastAsia"/>
          <w:bCs/>
          <w:sz w:val="24"/>
        </w:rPr>
        <w:t>信批资料</w:t>
      </w:r>
      <w:r w:rsidR="00461A82" w:rsidRPr="00FD1749">
        <w:rPr>
          <w:bCs/>
          <w:sz w:val="24"/>
        </w:rPr>
        <w:t>；</w:t>
      </w:r>
      <w:r w:rsidR="00186CB1" w:rsidRPr="00FD1749">
        <w:rPr>
          <w:rFonts w:hint="eastAsia"/>
          <w:bCs/>
          <w:sz w:val="24"/>
        </w:rPr>
        <w:t>6</w:t>
      </w:r>
      <w:r w:rsidR="00461A82" w:rsidRPr="00FD1749">
        <w:rPr>
          <w:rFonts w:hint="eastAsia"/>
          <w:bCs/>
          <w:sz w:val="24"/>
        </w:rPr>
        <w:t>、</w:t>
      </w:r>
      <w:r w:rsidR="00461A82" w:rsidRPr="00FD1749">
        <w:rPr>
          <w:bCs/>
          <w:sz w:val="24"/>
        </w:rPr>
        <w:t>监督管理人投资运作；</w:t>
      </w:r>
      <w:r w:rsidR="00186CB1" w:rsidRPr="00FD1749">
        <w:rPr>
          <w:rFonts w:hint="eastAsia"/>
          <w:bCs/>
          <w:sz w:val="24"/>
        </w:rPr>
        <w:t>7</w:t>
      </w:r>
      <w:r w:rsidR="00461A82" w:rsidRPr="00FD1749">
        <w:rPr>
          <w:rFonts w:hint="eastAsia"/>
          <w:bCs/>
          <w:sz w:val="24"/>
        </w:rPr>
        <w:t>、</w:t>
      </w:r>
      <w:r w:rsidR="00461A82" w:rsidRPr="00FD1749">
        <w:rPr>
          <w:bCs/>
          <w:sz w:val="24"/>
        </w:rPr>
        <w:t>依法提起诉讼或仲裁</w:t>
      </w:r>
      <w:r w:rsidR="00C97EDD" w:rsidRPr="00FD1749">
        <w:rPr>
          <w:rFonts w:hint="eastAsia"/>
          <w:bCs/>
          <w:sz w:val="24"/>
        </w:rPr>
        <w:t>；</w:t>
      </w:r>
      <w:r w:rsidR="00C97EDD" w:rsidRPr="00FD1749">
        <w:rPr>
          <w:rFonts w:hint="eastAsia"/>
          <w:bCs/>
          <w:sz w:val="24"/>
        </w:rPr>
        <w:t>8</w:t>
      </w:r>
      <w:r w:rsidR="00C97EDD" w:rsidRPr="00FD1749">
        <w:rPr>
          <w:rFonts w:hint="eastAsia"/>
          <w:bCs/>
          <w:sz w:val="24"/>
        </w:rPr>
        <w:t>、法律法规和基金合同规定的其他</w:t>
      </w:r>
      <w:r w:rsidR="00461A82" w:rsidRPr="00FD1749">
        <w:rPr>
          <w:rFonts w:hint="eastAsia"/>
          <w:bCs/>
          <w:sz w:val="24"/>
        </w:rPr>
        <w:t>。</w:t>
      </w:r>
    </w:p>
    <w:p w14:paraId="30FD2663" w14:textId="77777777" w:rsidR="004E30DC" w:rsidRPr="00FD1749" w:rsidRDefault="004E30DC" w:rsidP="004E30DC">
      <w:pPr>
        <w:spacing w:line="360" w:lineRule="auto"/>
        <w:ind w:firstLineChars="200" w:firstLine="480"/>
        <w:rPr>
          <w:rFonts w:ascii="宋体" w:hAnsi="宋体"/>
          <w:color w:val="000000"/>
          <w:sz w:val="24"/>
        </w:rPr>
      </w:pPr>
      <w:r w:rsidRPr="00FD1749">
        <w:rPr>
          <w:rFonts w:hint="eastAsia"/>
          <w:bCs/>
          <w:sz w:val="24"/>
        </w:rPr>
        <w:t>基金</w:t>
      </w:r>
      <w:r w:rsidRPr="00FD1749">
        <w:rPr>
          <w:bCs/>
          <w:sz w:val="24"/>
        </w:rPr>
        <w:t>份额持有人的义务包括：</w:t>
      </w:r>
      <w:r w:rsidRPr="00FD1749">
        <w:rPr>
          <w:rFonts w:hint="eastAsia"/>
          <w:bCs/>
          <w:sz w:val="24"/>
        </w:rPr>
        <w:t>1</w:t>
      </w:r>
      <w:r w:rsidRPr="00FD1749">
        <w:rPr>
          <w:rFonts w:hint="eastAsia"/>
          <w:bCs/>
          <w:sz w:val="24"/>
        </w:rPr>
        <w:t>、</w:t>
      </w:r>
      <w:r w:rsidRPr="00FD1749">
        <w:rPr>
          <w:rFonts w:ascii="宋体" w:hAnsi="宋体" w:hint="eastAsia"/>
          <w:color w:val="000000"/>
          <w:sz w:val="24"/>
        </w:rPr>
        <w:t>认真阅读并遵守</w:t>
      </w:r>
      <w:r w:rsidRPr="00FD1749">
        <w:rPr>
          <w:rFonts w:ascii="宋体" w:hAnsi="宋体"/>
          <w:bCs/>
          <w:color w:val="000000"/>
          <w:sz w:val="24"/>
        </w:rPr>
        <w:t>基金合同等文件</w:t>
      </w:r>
      <w:r w:rsidRPr="00FD1749">
        <w:rPr>
          <w:rFonts w:ascii="宋体" w:hAnsi="宋体" w:hint="eastAsia"/>
          <w:bCs/>
          <w:color w:val="000000"/>
          <w:sz w:val="24"/>
        </w:rPr>
        <w:t>；2、</w:t>
      </w:r>
      <w:r w:rsidRPr="00FD1749">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了解所投资基金产品，了解自身风险承受能力，自主判断基金的投资价值，自主做出投资决策，自行承担投资风险；3、关注基金信息披露，及时行使权利和履行义务；4、缴纳</w:t>
      </w:r>
      <w:r w:rsidRPr="00FD1749">
        <w:rPr>
          <w:rFonts w:ascii="宋体" w:hAnsi="宋体"/>
          <w:color w:val="000000"/>
          <w:sz w:val="24"/>
        </w:rPr>
        <w:t>法律法规及基金合同</w:t>
      </w:r>
      <w:r w:rsidRPr="00FD1749">
        <w:rPr>
          <w:rFonts w:ascii="宋体" w:hAnsi="宋体" w:hint="eastAsia"/>
          <w:color w:val="000000"/>
          <w:sz w:val="24"/>
        </w:rPr>
        <w:t>所规定的费用；5、</w:t>
      </w:r>
      <w:r w:rsidRPr="00FD1749">
        <w:rPr>
          <w:rFonts w:ascii="宋体" w:hAnsi="宋体"/>
          <w:color w:val="000000"/>
          <w:sz w:val="24"/>
        </w:rPr>
        <w:t>以持有的份额</w:t>
      </w:r>
      <w:r w:rsidRPr="00FD1749">
        <w:rPr>
          <w:rFonts w:ascii="宋体" w:hAnsi="宋体" w:hint="eastAsia"/>
          <w:color w:val="000000"/>
          <w:sz w:val="24"/>
        </w:rPr>
        <w:t>范围内</w:t>
      </w:r>
      <w:r w:rsidRPr="00FD1749">
        <w:rPr>
          <w:rFonts w:ascii="宋体" w:hAnsi="宋体"/>
          <w:color w:val="000000"/>
          <w:sz w:val="24"/>
        </w:rPr>
        <w:t>，</w:t>
      </w:r>
      <w:r w:rsidRPr="00FD1749">
        <w:rPr>
          <w:rFonts w:ascii="宋体" w:hAnsi="宋体" w:hint="eastAsia"/>
          <w:color w:val="000000"/>
          <w:sz w:val="24"/>
        </w:rPr>
        <w:t>承担亏损或者</w:t>
      </w:r>
      <w:r w:rsidRPr="00FD1749">
        <w:rPr>
          <w:rFonts w:ascii="宋体" w:hAnsi="宋体"/>
          <w:bCs/>
          <w:color w:val="000000"/>
          <w:sz w:val="24"/>
        </w:rPr>
        <w:t>基金合同</w:t>
      </w:r>
      <w:r w:rsidRPr="00FD1749">
        <w:rPr>
          <w:rFonts w:ascii="宋体" w:hAnsi="宋体" w:hint="eastAsia"/>
          <w:color w:val="000000"/>
          <w:sz w:val="24"/>
        </w:rPr>
        <w:t>终止的有限责任；6、不从事任何有损基金及其他</w:t>
      </w:r>
      <w:r w:rsidRPr="00FD1749">
        <w:rPr>
          <w:rFonts w:ascii="宋体" w:hAnsi="宋体"/>
          <w:bCs/>
          <w:color w:val="000000"/>
          <w:sz w:val="24"/>
        </w:rPr>
        <w:t>基金合同</w:t>
      </w:r>
      <w:r w:rsidRPr="00FD1749">
        <w:rPr>
          <w:rFonts w:ascii="宋体" w:hAnsi="宋体" w:hint="eastAsia"/>
          <w:color w:val="000000"/>
          <w:sz w:val="24"/>
        </w:rPr>
        <w:t>当事人合法权益的活动；7、执行生效的基金份额持有人大会的</w:t>
      </w:r>
      <w:r w:rsidRPr="00FD1749">
        <w:rPr>
          <w:rFonts w:ascii="宋体" w:hAnsi="宋体"/>
          <w:bCs/>
          <w:color w:val="000000"/>
          <w:sz w:val="24"/>
        </w:rPr>
        <w:t>决议</w:t>
      </w:r>
      <w:r w:rsidRPr="00FD1749">
        <w:rPr>
          <w:rFonts w:ascii="宋体" w:hAnsi="宋体" w:hint="eastAsia"/>
          <w:color w:val="000000"/>
          <w:sz w:val="24"/>
        </w:rPr>
        <w:t>；8、返还在基金交易过程中因任何原因获得的不当得利；9、</w:t>
      </w:r>
      <w:r w:rsidRPr="00FD1749">
        <w:rPr>
          <w:rFonts w:hint="eastAsia"/>
          <w:bCs/>
          <w:sz w:val="24"/>
        </w:rPr>
        <w:t>法律法规和基金合同规定的其他。</w:t>
      </w:r>
    </w:p>
    <w:p w14:paraId="7AB66A8B" w14:textId="77777777" w:rsidR="004E30DC" w:rsidRPr="00FD1749" w:rsidRDefault="004E30DC" w:rsidP="004E30DC">
      <w:pPr>
        <w:spacing w:line="360" w:lineRule="auto"/>
        <w:ind w:firstLineChars="200" w:firstLine="480"/>
        <w:jc w:val="left"/>
        <w:rPr>
          <w:bCs/>
          <w:sz w:val="24"/>
        </w:rPr>
      </w:pPr>
      <w:r w:rsidRPr="00FD1749">
        <w:rPr>
          <w:rFonts w:hint="eastAsia"/>
          <w:bCs/>
          <w:sz w:val="24"/>
        </w:rPr>
        <w:t>其他基金合同</w:t>
      </w:r>
      <w:r w:rsidRPr="00FD1749">
        <w:rPr>
          <w:bCs/>
          <w:sz w:val="24"/>
        </w:rPr>
        <w:t>当事人的权利义务详见基金合同</w:t>
      </w:r>
      <w:r w:rsidRPr="00FD1749">
        <w:rPr>
          <w:bCs/>
          <w:sz w:val="24"/>
        </w:rPr>
        <w:t>“</w:t>
      </w:r>
      <w:r w:rsidRPr="00FD1749">
        <w:rPr>
          <w:rFonts w:hint="eastAsia"/>
          <w:bCs/>
          <w:sz w:val="24"/>
        </w:rPr>
        <w:t>第七</w:t>
      </w:r>
      <w:r w:rsidRPr="00FD1749">
        <w:rPr>
          <w:bCs/>
          <w:sz w:val="24"/>
        </w:rPr>
        <w:t>部分</w:t>
      </w:r>
      <w:r w:rsidRPr="00FD1749">
        <w:rPr>
          <w:rFonts w:hint="eastAsia"/>
          <w:bCs/>
          <w:sz w:val="24"/>
        </w:rPr>
        <w:t xml:space="preserve"> </w:t>
      </w:r>
      <w:r w:rsidRPr="00FD1749">
        <w:rPr>
          <w:rFonts w:hint="eastAsia"/>
          <w:bCs/>
          <w:sz w:val="24"/>
        </w:rPr>
        <w:t>基金</w:t>
      </w:r>
      <w:r w:rsidRPr="00FD1749">
        <w:rPr>
          <w:bCs/>
          <w:sz w:val="24"/>
        </w:rPr>
        <w:t>合同当事人</w:t>
      </w:r>
      <w:r w:rsidRPr="00FD1749">
        <w:rPr>
          <w:rFonts w:hint="eastAsia"/>
          <w:bCs/>
          <w:sz w:val="24"/>
        </w:rPr>
        <w:t>及权利义务</w:t>
      </w:r>
      <w:r w:rsidRPr="00FD1749">
        <w:rPr>
          <w:bCs/>
          <w:sz w:val="24"/>
        </w:rPr>
        <w:t>”</w:t>
      </w:r>
      <w:r w:rsidRPr="00FD1749">
        <w:rPr>
          <w:rFonts w:hint="eastAsia"/>
          <w:bCs/>
          <w:sz w:val="24"/>
        </w:rPr>
        <w:t>章节</w:t>
      </w:r>
      <w:r w:rsidRPr="00FD1749">
        <w:rPr>
          <w:bCs/>
          <w:sz w:val="24"/>
        </w:rPr>
        <w:t>。</w:t>
      </w:r>
    </w:p>
    <w:p w14:paraId="43225ABF" w14:textId="77777777" w:rsidR="00553655" w:rsidRPr="00FD1749" w:rsidRDefault="004E30DC" w:rsidP="002B09AA">
      <w:pPr>
        <w:spacing w:line="360" w:lineRule="auto"/>
        <w:ind w:firstLineChars="200" w:firstLine="480"/>
        <w:rPr>
          <w:rFonts w:ascii="Arial" w:hAnsi="Arial" w:cs="Arial"/>
          <w:b/>
          <w:color w:val="000000"/>
          <w:sz w:val="24"/>
        </w:rPr>
      </w:pPr>
      <w:r w:rsidRPr="00FD1749">
        <w:rPr>
          <w:rFonts w:hint="eastAsia"/>
          <w:bCs/>
          <w:sz w:val="24"/>
        </w:rPr>
        <w:t>八、</w:t>
      </w:r>
      <w:r w:rsidR="00EC763C" w:rsidRPr="00FD1749">
        <w:rPr>
          <w:rFonts w:hint="eastAsia"/>
          <w:bCs/>
          <w:sz w:val="24"/>
        </w:rPr>
        <w:t>基金合同生效后</w:t>
      </w:r>
      <w:r w:rsidR="00BE58EC" w:rsidRPr="00FD1749">
        <w:rPr>
          <w:rFonts w:hint="eastAsia"/>
          <w:bCs/>
          <w:color w:val="000000" w:themeColor="text1"/>
          <w:sz w:val="24"/>
        </w:rPr>
        <w:t>，</w:t>
      </w:r>
      <w:r w:rsidR="002B09AA" w:rsidRPr="00FD1749">
        <w:rPr>
          <w:rFonts w:hint="eastAsia"/>
          <w:bCs/>
          <w:color w:val="000000" w:themeColor="text1"/>
          <w:sz w:val="24"/>
        </w:rPr>
        <w:t>封闭期内</w:t>
      </w:r>
      <w:r w:rsidR="00BE58EC" w:rsidRPr="00FD1749">
        <w:rPr>
          <w:rFonts w:hint="eastAsia"/>
          <w:bCs/>
          <w:color w:val="000000" w:themeColor="text1"/>
          <w:sz w:val="24"/>
        </w:rPr>
        <w:t>，至少每周披露净值；</w:t>
      </w:r>
      <w:r w:rsidR="002B09AA" w:rsidRPr="00FD1749">
        <w:rPr>
          <w:rFonts w:hint="eastAsia"/>
          <w:color w:val="000000"/>
          <w:sz w:val="24"/>
        </w:rPr>
        <w:t>在开放期内</w:t>
      </w:r>
      <w:r w:rsidR="00BE58EC" w:rsidRPr="00FD1749">
        <w:rPr>
          <w:rFonts w:hint="eastAsia"/>
          <w:bCs/>
          <w:color w:val="000000" w:themeColor="text1"/>
          <w:sz w:val="24"/>
        </w:rPr>
        <w:t>，每个开放日次日披露净值；</w:t>
      </w:r>
      <w:r w:rsidR="00030B27" w:rsidRPr="00FD1749">
        <w:rPr>
          <w:rFonts w:hint="eastAsia"/>
          <w:bCs/>
          <w:kern w:val="0"/>
          <w:sz w:val="24"/>
        </w:rPr>
        <w:t>上年末三个月内，披露年报；上半年末两个月内，披露</w:t>
      </w:r>
      <w:r w:rsidR="002B09AA" w:rsidRPr="00FD1749">
        <w:rPr>
          <w:rFonts w:hint="eastAsia"/>
          <w:bCs/>
          <w:kern w:val="0"/>
          <w:sz w:val="24"/>
        </w:rPr>
        <w:t>中期报告</w:t>
      </w:r>
      <w:r w:rsidR="00030B27" w:rsidRPr="00FD1749">
        <w:rPr>
          <w:rFonts w:hint="eastAsia"/>
          <w:bCs/>
          <w:kern w:val="0"/>
          <w:sz w:val="24"/>
        </w:rPr>
        <w:t>；上一季末</w:t>
      </w:r>
      <w:r w:rsidR="002B09AA" w:rsidRPr="00FD1749">
        <w:rPr>
          <w:rFonts w:hint="eastAsia"/>
          <w:bCs/>
          <w:kern w:val="0"/>
          <w:sz w:val="24"/>
        </w:rPr>
        <w:t>15</w:t>
      </w:r>
      <w:r w:rsidR="00030B27" w:rsidRPr="00FD1749">
        <w:rPr>
          <w:rFonts w:hint="eastAsia"/>
          <w:bCs/>
          <w:kern w:val="0"/>
          <w:sz w:val="24"/>
        </w:rPr>
        <w:t>个工作日内，披露季报。</w:t>
      </w:r>
      <w:r w:rsidR="00D14BAC" w:rsidRPr="00FD1749">
        <w:rPr>
          <w:rFonts w:hint="eastAsia"/>
          <w:bCs/>
          <w:sz w:val="24"/>
        </w:rPr>
        <w:t>您可以登陆</w:t>
      </w:r>
      <w:r w:rsidR="0019330C" w:rsidRPr="00FD1749">
        <w:rPr>
          <w:rFonts w:hint="eastAsia"/>
          <w:bCs/>
          <w:sz w:val="24"/>
        </w:rPr>
        <w:t>公司网站（</w:t>
      </w:r>
      <w:r w:rsidR="0019330C" w:rsidRPr="00FD1749">
        <w:rPr>
          <w:bCs/>
          <w:sz w:val="24"/>
        </w:rPr>
        <w:t>www.ctfund.com</w:t>
      </w:r>
      <w:r w:rsidR="0019330C" w:rsidRPr="00FD1749">
        <w:rPr>
          <w:rFonts w:hint="eastAsia"/>
          <w:bCs/>
          <w:sz w:val="24"/>
        </w:rPr>
        <w:t>）</w:t>
      </w:r>
      <w:r w:rsidR="00D14BAC" w:rsidRPr="00FD1749">
        <w:rPr>
          <w:rFonts w:hint="eastAsia"/>
          <w:bCs/>
          <w:sz w:val="24"/>
        </w:rPr>
        <w:t>或查阅</w:t>
      </w:r>
      <w:r w:rsidR="00771E7D" w:rsidRPr="00FD1749">
        <w:rPr>
          <w:rFonts w:hint="eastAsia"/>
          <w:bCs/>
          <w:sz w:val="24"/>
        </w:rPr>
        <w:t>《</w:t>
      </w:r>
      <w:r w:rsidR="002B36CA" w:rsidRPr="00FD1749">
        <w:rPr>
          <w:rFonts w:hint="eastAsia"/>
          <w:bCs/>
          <w:sz w:val="24"/>
        </w:rPr>
        <w:t>证券</w:t>
      </w:r>
      <w:r w:rsidR="00554622" w:rsidRPr="00FD1749">
        <w:rPr>
          <w:rFonts w:hint="eastAsia"/>
          <w:bCs/>
          <w:sz w:val="24"/>
        </w:rPr>
        <w:t>时报</w:t>
      </w:r>
      <w:r w:rsidR="00771E7D" w:rsidRPr="00FD1749">
        <w:rPr>
          <w:rFonts w:hint="eastAsia"/>
          <w:bCs/>
          <w:sz w:val="24"/>
        </w:rPr>
        <w:t>》</w:t>
      </w:r>
      <w:r w:rsidR="00D14BAC" w:rsidRPr="00FD1749">
        <w:rPr>
          <w:rFonts w:hint="eastAsia"/>
          <w:bCs/>
          <w:sz w:val="24"/>
        </w:rPr>
        <w:t>查询有关信息和其它临时公告</w:t>
      </w:r>
      <w:r w:rsidR="0019330C" w:rsidRPr="00FD1749">
        <w:rPr>
          <w:rFonts w:hint="eastAsia"/>
          <w:bCs/>
          <w:sz w:val="24"/>
        </w:rPr>
        <w:t>。</w:t>
      </w:r>
    </w:p>
    <w:p w14:paraId="18001BCB" w14:textId="77777777" w:rsidR="00D2227F" w:rsidRPr="00FD1749" w:rsidRDefault="004E30DC" w:rsidP="00D2227F">
      <w:pPr>
        <w:spacing w:line="360" w:lineRule="auto"/>
        <w:ind w:firstLine="480"/>
        <w:jc w:val="left"/>
      </w:pPr>
      <w:r w:rsidRPr="00FD1749">
        <w:rPr>
          <w:rFonts w:hint="eastAsia"/>
          <w:bCs/>
          <w:sz w:val="24"/>
        </w:rPr>
        <w:t>九、</w:t>
      </w:r>
      <w:r w:rsidR="008F7871" w:rsidRPr="00FD1749">
        <w:rPr>
          <w:rFonts w:ascii="宋体" w:hAnsi="宋体" w:hint="eastAsia"/>
          <w:sz w:val="24"/>
        </w:rPr>
        <w:t>自然人投资者通过柜台直销投资的，享有冷静期。普通投资者（机构）</w:t>
      </w:r>
      <w:r w:rsidR="008F7871" w:rsidRPr="00FD1749">
        <w:rPr>
          <w:rFonts w:ascii="宋体" w:hAnsi="宋体" w:hint="eastAsia"/>
          <w:sz w:val="24"/>
        </w:rPr>
        <w:lastRenderedPageBreak/>
        <w:t>通过传真交易方式投资的，按照法规要求进行回访。</w:t>
      </w:r>
    </w:p>
    <w:p w14:paraId="5736FC62" w14:textId="77777777" w:rsidR="00D2227F" w:rsidRPr="00FD1749" w:rsidRDefault="00D2227F" w:rsidP="00D2227F">
      <w:pPr>
        <w:spacing w:line="360" w:lineRule="auto"/>
        <w:ind w:firstLine="480"/>
        <w:jc w:val="left"/>
      </w:pPr>
      <w:r w:rsidRPr="00FD1749">
        <w:rPr>
          <w:rFonts w:ascii="宋体" w:hAnsi="宋体" w:hint="eastAsia"/>
          <w:sz w:val="24"/>
        </w:rPr>
        <w:t>您通过代销机构投资的，冷静期及回访制度将参照具体代销机构规则执行</w:t>
      </w:r>
      <w:r w:rsidRPr="00FD1749">
        <w:rPr>
          <w:rFonts w:hint="eastAsia"/>
          <w:bCs/>
          <w:sz w:val="24"/>
        </w:rPr>
        <w:t>。</w:t>
      </w:r>
    </w:p>
    <w:p w14:paraId="737D19EF" w14:textId="77777777" w:rsidR="003B5476" w:rsidRPr="00FD1749" w:rsidRDefault="004E30DC" w:rsidP="001F5C75">
      <w:pPr>
        <w:spacing w:line="360" w:lineRule="auto"/>
        <w:ind w:firstLineChars="200" w:firstLine="480"/>
        <w:jc w:val="left"/>
        <w:rPr>
          <w:rFonts w:ascii="Arial" w:hAnsi="Arial" w:cs="Arial"/>
          <w:b/>
          <w:color w:val="000000"/>
          <w:sz w:val="24"/>
        </w:rPr>
      </w:pPr>
      <w:r w:rsidRPr="00FD1749">
        <w:rPr>
          <w:rFonts w:hint="eastAsia"/>
          <w:bCs/>
          <w:sz w:val="24"/>
        </w:rPr>
        <w:t>十、</w:t>
      </w:r>
      <w:r w:rsidR="001F5C75" w:rsidRPr="00FD1749">
        <w:rPr>
          <w:rFonts w:hint="eastAsia"/>
          <w:bCs/>
          <w:sz w:val="24"/>
        </w:rPr>
        <w:t>您</w:t>
      </w:r>
      <w:r w:rsidR="00570357" w:rsidRPr="00FD1749">
        <w:rPr>
          <w:rFonts w:hint="eastAsia"/>
          <w:bCs/>
          <w:sz w:val="24"/>
        </w:rPr>
        <w:t>可通过</w:t>
      </w:r>
      <w:r w:rsidR="001F5C75" w:rsidRPr="00FD1749">
        <w:rPr>
          <w:rFonts w:hint="eastAsia"/>
          <w:bCs/>
          <w:sz w:val="24"/>
        </w:rPr>
        <w:t>客服</w:t>
      </w:r>
      <w:r w:rsidR="00570357" w:rsidRPr="00FD1749">
        <w:rPr>
          <w:rFonts w:hAnsi="宋体"/>
          <w:color w:val="000000"/>
          <w:sz w:val="24"/>
          <w:szCs w:val="21"/>
        </w:rPr>
        <w:t>电话</w:t>
      </w:r>
      <w:r w:rsidR="007417E0" w:rsidRPr="00FD1749">
        <w:rPr>
          <w:rFonts w:hAnsi="宋体" w:hint="eastAsia"/>
          <w:color w:val="000000"/>
          <w:sz w:val="24"/>
          <w:szCs w:val="21"/>
        </w:rPr>
        <w:t>（</w:t>
      </w:r>
      <w:r w:rsidR="007417E0" w:rsidRPr="00FD1749">
        <w:rPr>
          <w:bCs/>
          <w:sz w:val="24"/>
        </w:rPr>
        <w:t>400-820-9888</w:t>
      </w:r>
      <w:r w:rsidR="007417E0" w:rsidRPr="00FD1749">
        <w:rPr>
          <w:rFonts w:hint="eastAsia"/>
          <w:bCs/>
          <w:sz w:val="24"/>
        </w:rPr>
        <w:t>）</w:t>
      </w:r>
      <w:r w:rsidR="00570357" w:rsidRPr="00FD1749">
        <w:rPr>
          <w:rFonts w:hAnsi="宋体" w:hint="eastAsia"/>
          <w:color w:val="000000"/>
          <w:sz w:val="24"/>
          <w:szCs w:val="21"/>
        </w:rPr>
        <w:t>或</w:t>
      </w:r>
      <w:r w:rsidR="00570357" w:rsidRPr="00FD1749">
        <w:rPr>
          <w:rFonts w:hAnsi="宋体"/>
          <w:color w:val="000000"/>
          <w:sz w:val="24"/>
          <w:szCs w:val="21"/>
        </w:rPr>
        <w:t>电子邮件</w:t>
      </w:r>
      <w:r w:rsidR="007417E0" w:rsidRPr="00FD1749">
        <w:rPr>
          <w:rFonts w:hAnsi="宋体" w:hint="eastAsia"/>
          <w:color w:val="000000"/>
          <w:sz w:val="24"/>
          <w:szCs w:val="21"/>
        </w:rPr>
        <w:t>（</w:t>
      </w:r>
      <w:hyperlink r:id="rId9" w:history="1">
        <w:r w:rsidR="007417E0" w:rsidRPr="00FD1749">
          <w:rPr>
            <w:rStyle w:val="ae"/>
            <w:rFonts w:hAnsi="宋体"/>
            <w:sz w:val="24"/>
            <w:szCs w:val="21"/>
          </w:rPr>
          <w:t>service@ctfund.com</w:t>
        </w:r>
      </w:hyperlink>
      <w:r w:rsidR="007417E0" w:rsidRPr="00FD1749">
        <w:rPr>
          <w:rFonts w:hAnsi="宋体" w:hint="eastAsia"/>
          <w:color w:val="000000"/>
          <w:sz w:val="24"/>
          <w:szCs w:val="21"/>
        </w:rPr>
        <w:t>）进行投诉；</w:t>
      </w:r>
      <w:hyperlink r:id="rId10" w:history="1">
        <w:r w:rsidR="001F5C75" w:rsidRPr="00FD1749">
          <w:rPr>
            <w:rFonts w:hint="eastAsia"/>
            <w:bCs/>
            <w:sz w:val="24"/>
          </w:rPr>
          <w:t>亦</w:t>
        </w:r>
      </w:hyperlink>
      <w:r w:rsidR="007417E0" w:rsidRPr="00FD1749">
        <w:rPr>
          <w:rFonts w:hint="eastAsia"/>
          <w:bCs/>
          <w:sz w:val="24"/>
        </w:rPr>
        <w:t>可向</w:t>
      </w:r>
      <w:r w:rsidR="00554622" w:rsidRPr="00FD1749">
        <w:rPr>
          <w:rFonts w:hint="eastAsia"/>
          <w:bCs/>
          <w:sz w:val="24"/>
        </w:rPr>
        <w:t>上海国际经济贸易仲裁委员会</w:t>
      </w:r>
      <w:r w:rsidR="007417E0" w:rsidRPr="00FD1749">
        <w:rPr>
          <w:rFonts w:hint="eastAsia"/>
          <w:bCs/>
          <w:sz w:val="24"/>
        </w:rPr>
        <w:t>提起仲裁</w:t>
      </w:r>
      <w:r w:rsidR="00CD6D99" w:rsidRPr="00FD1749">
        <w:rPr>
          <w:rFonts w:hint="eastAsia"/>
          <w:bCs/>
          <w:sz w:val="24"/>
        </w:rPr>
        <w:t>。</w:t>
      </w:r>
    </w:p>
    <w:p w14:paraId="2158D9F7" w14:textId="77777777" w:rsidR="00D531A7" w:rsidRPr="00FD1749" w:rsidRDefault="006F6C5D" w:rsidP="00332CDE">
      <w:pPr>
        <w:spacing w:line="360" w:lineRule="auto"/>
        <w:ind w:firstLineChars="200" w:firstLine="482"/>
        <w:jc w:val="left"/>
        <w:rPr>
          <w:rFonts w:ascii="Arial" w:hAnsi="Arial" w:cs="Arial"/>
          <w:color w:val="000000"/>
          <w:sz w:val="24"/>
        </w:rPr>
      </w:pPr>
      <w:r w:rsidRPr="00FD1749">
        <w:rPr>
          <w:rFonts w:ascii="Arial" w:hAnsi="Arial" w:cs="Arial" w:hint="eastAsia"/>
          <w:b/>
          <w:color w:val="000000"/>
          <w:sz w:val="24"/>
          <w:u w:val="double"/>
        </w:rPr>
        <w:t>请投资者在投资前认真阅读本风险揭示书</w:t>
      </w:r>
      <w:r w:rsidRPr="00FD1749">
        <w:rPr>
          <w:rFonts w:ascii="Arial" w:hAnsi="Arial" w:cs="Arial" w:hint="eastAsia"/>
          <w:color w:val="000000"/>
          <w:sz w:val="24"/>
        </w:rPr>
        <w:t>，</w:t>
      </w:r>
      <w:r w:rsidRPr="00FD1749">
        <w:rPr>
          <w:rFonts w:ascii="Arial" w:hAnsi="Arial" w:cs="Arial" w:hint="eastAsia"/>
          <w:b/>
          <w:color w:val="000000"/>
          <w:sz w:val="24"/>
          <w:u w:val="double"/>
        </w:rPr>
        <w:t>并请在本风险揭示书后签署确认</w:t>
      </w:r>
      <w:r w:rsidRPr="00FD1749">
        <w:rPr>
          <w:rFonts w:ascii="Arial" w:hAnsi="Arial" w:cs="Arial" w:hint="eastAsia"/>
          <w:color w:val="000000"/>
          <w:sz w:val="24"/>
        </w:rPr>
        <w:t>。</w:t>
      </w:r>
    </w:p>
    <w:p w14:paraId="68AEA12F" w14:textId="3843F698" w:rsidR="001F5C75" w:rsidRPr="00FD1749" w:rsidRDefault="00697835" w:rsidP="001F5C75">
      <w:pPr>
        <w:spacing w:line="360" w:lineRule="auto"/>
        <w:ind w:firstLineChars="200" w:firstLine="480"/>
        <w:jc w:val="left"/>
        <w:outlineLvl w:val="0"/>
        <w:rPr>
          <w:rFonts w:ascii="Arial" w:hAnsi="Arial" w:cs="Arial"/>
          <w:color w:val="000000"/>
          <w:sz w:val="24"/>
        </w:rPr>
      </w:pPr>
      <w:r>
        <w:rPr>
          <w:rFonts w:ascii="STXihei" w:eastAsia="STXihei" w:hAnsi="STXihei" w:cs="Arial"/>
          <w:noProof/>
          <w:color w:val="000000"/>
          <w:sz w:val="24"/>
        </w:rPr>
        <mc:AlternateContent>
          <mc:Choice Requires="wps">
            <w:drawing>
              <wp:anchor distT="0" distB="0" distL="114300" distR="114300" simplePos="0" relativeHeight="251662336" behindDoc="0" locked="0" layoutInCell="1" allowOverlap="1" wp14:anchorId="2206E7BF" wp14:editId="571413AF">
                <wp:simplePos x="0" y="0"/>
                <wp:positionH relativeFrom="column">
                  <wp:posOffset>26035</wp:posOffset>
                </wp:positionH>
                <wp:positionV relativeFrom="paragraph">
                  <wp:posOffset>27305</wp:posOffset>
                </wp:positionV>
                <wp:extent cx="5303520" cy="8255"/>
                <wp:effectExtent l="0" t="0" r="11430" b="107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A0B1A5" id="AutoShape 8" o:spid="_x0000_s1026"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" strokeweight="1.25pt">
                <v:stroke dashstyle="dash"/>
              </v:shape>
            </w:pict>
          </mc:Fallback>
        </mc:AlternateContent>
      </w:r>
      <w:r w:rsidR="006F6C5D" w:rsidRPr="00FD1749">
        <w:rPr>
          <w:rFonts w:ascii="Arial" w:hAnsi="Arial" w:cs="Arial" w:hint="eastAsia"/>
          <w:color w:val="000000"/>
          <w:sz w:val="24"/>
        </w:rPr>
        <w:t>（以下无正文）</w:t>
      </w:r>
    </w:p>
    <w:p w14:paraId="0E6A7AB8" w14:textId="77777777" w:rsidR="00BE58EC" w:rsidRPr="00FD1749" w:rsidRDefault="00BE58EC" w:rsidP="001F5C75">
      <w:pPr>
        <w:spacing w:line="360" w:lineRule="auto"/>
        <w:ind w:firstLineChars="200" w:firstLine="480"/>
        <w:jc w:val="left"/>
        <w:outlineLvl w:val="0"/>
        <w:rPr>
          <w:color w:val="000000"/>
          <w:sz w:val="24"/>
          <w:u w:val="single"/>
        </w:rPr>
      </w:pPr>
    </w:p>
    <w:p w14:paraId="25F294E0" w14:textId="77777777" w:rsidR="00BE58EC" w:rsidRPr="00FD1749" w:rsidRDefault="00BE58EC" w:rsidP="001F5C75">
      <w:pPr>
        <w:spacing w:line="360" w:lineRule="auto"/>
        <w:ind w:firstLineChars="200" w:firstLine="480"/>
        <w:jc w:val="left"/>
        <w:outlineLvl w:val="0"/>
        <w:rPr>
          <w:color w:val="000000"/>
          <w:sz w:val="24"/>
          <w:u w:val="single"/>
        </w:rPr>
      </w:pPr>
    </w:p>
    <w:p w14:paraId="66461968" w14:textId="77777777" w:rsidR="006F6C5D" w:rsidRPr="00FD1749" w:rsidRDefault="006F6C5D" w:rsidP="001F5C75">
      <w:pPr>
        <w:spacing w:line="360" w:lineRule="auto"/>
        <w:ind w:firstLineChars="200" w:firstLine="480"/>
        <w:jc w:val="left"/>
        <w:outlineLvl w:val="0"/>
        <w:rPr>
          <w:color w:val="000000"/>
          <w:sz w:val="24"/>
          <w:u w:val="single"/>
        </w:rPr>
      </w:pPr>
      <w:r w:rsidRPr="00FD1749">
        <w:rPr>
          <w:rFonts w:hint="eastAsia"/>
          <w:color w:val="000000"/>
          <w:sz w:val="24"/>
          <w:u w:val="single"/>
        </w:rPr>
        <w:t>以上《风险揭示书》的各项内容，本人</w:t>
      </w:r>
      <w:r w:rsidRPr="00FD1749">
        <w:rPr>
          <w:color w:val="000000"/>
          <w:sz w:val="24"/>
          <w:u w:val="single"/>
        </w:rPr>
        <w:t>/</w:t>
      </w:r>
      <w:r w:rsidRPr="00FD1749">
        <w:rPr>
          <w:rFonts w:hint="eastAsia"/>
          <w:color w:val="000000"/>
          <w:sz w:val="24"/>
          <w:u w:val="single"/>
        </w:rPr>
        <w:t>单位已阅读并完全理解。</w:t>
      </w:r>
    </w:p>
    <w:p w14:paraId="2A49A84A" w14:textId="77777777" w:rsidR="00F01FFD" w:rsidRPr="00FD1749"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FD1749">
        <w:rPr>
          <w:rFonts w:hint="eastAsia"/>
          <w:b/>
          <w:color w:val="000000" w:themeColor="text1"/>
          <w:sz w:val="24"/>
        </w:rPr>
        <w:t>抄录：以上《风险揭示书》的各项内容，本人</w:t>
      </w:r>
      <w:r w:rsidRPr="00FD1749">
        <w:rPr>
          <w:b/>
          <w:color w:val="000000" w:themeColor="text1"/>
          <w:sz w:val="24"/>
        </w:rPr>
        <w:t>/</w:t>
      </w:r>
      <w:r w:rsidRPr="00FD1749">
        <w:rPr>
          <w:rFonts w:hint="eastAsia"/>
          <w:b/>
          <w:color w:val="000000" w:themeColor="text1"/>
          <w:sz w:val="24"/>
        </w:rPr>
        <w:t>单位已</w:t>
      </w:r>
      <w:r w:rsidRPr="00FD1749">
        <w:rPr>
          <w:rFonts w:ascii="宋体" w:hAnsi="宋体" w:hint="eastAsia"/>
          <w:b/>
          <w:color w:val="000000" w:themeColor="text1"/>
          <w:sz w:val="28"/>
        </w:rPr>
        <w:t>□□</w:t>
      </w:r>
      <w:r w:rsidRPr="00FD1749">
        <w:rPr>
          <w:rFonts w:hint="eastAsia"/>
          <w:b/>
          <w:color w:val="000000" w:themeColor="text1"/>
          <w:sz w:val="24"/>
        </w:rPr>
        <w:t>并</w:t>
      </w:r>
      <w:r w:rsidRPr="00FD1749">
        <w:rPr>
          <w:rFonts w:ascii="宋体" w:hAnsi="宋体" w:hint="eastAsia"/>
          <w:b/>
          <w:color w:val="000000" w:themeColor="text1"/>
          <w:sz w:val="28"/>
        </w:rPr>
        <w:t>□□□□</w:t>
      </w:r>
      <w:r w:rsidRPr="00FD1749">
        <w:rPr>
          <w:rFonts w:hint="eastAsia"/>
          <w:b/>
          <w:color w:val="000000" w:themeColor="text1"/>
          <w:sz w:val="24"/>
        </w:rPr>
        <w:t>。</w:t>
      </w:r>
    </w:p>
    <w:p w14:paraId="66C9DBDF" w14:textId="77777777" w:rsidR="00F01FFD" w:rsidRPr="00FD1749" w:rsidRDefault="00F01FFD" w:rsidP="00F01FFD">
      <w:pPr>
        <w:adjustRightInd w:val="0"/>
        <w:snapToGrid w:val="0"/>
        <w:spacing w:before="100" w:beforeAutospacing="1" w:after="100" w:afterAutospacing="1" w:line="560" w:lineRule="exact"/>
        <w:ind w:firstLine="480"/>
        <w:rPr>
          <w:color w:val="000000" w:themeColor="text1"/>
          <w:sz w:val="24"/>
        </w:rPr>
      </w:pPr>
      <w:r w:rsidRPr="00FD1749">
        <w:rPr>
          <w:rFonts w:hint="eastAsia"/>
          <w:color w:val="000000" w:themeColor="text1"/>
          <w:sz w:val="24"/>
        </w:rPr>
        <w:t>（请基金投资人</w:t>
      </w:r>
      <w:r w:rsidRPr="00FD1749">
        <w:rPr>
          <w:color w:val="000000" w:themeColor="text1"/>
          <w:sz w:val="24"/>
        </w:rPr>
        <w:t>/</w:t>
      </w:r>
      <w:r w:rsidRPr="00FD1749">
        <w:rPr>
          <w:rFonts w:hint="eastAsia"/>
          <w:color w:val="000000" w:themeColor="text1"/>
          <w:sz w:val="24"/>
        </w:rPr>
        <w:t>被授权人认真阅读后抄录）</w:t>
      </w:r>
    </w:p>
    <w:p w14:paraId="6904F4AB" w14:textId="77777777" w:rsidR="006F6C5D" w:rsidRPr="00FD1749" w:rsidRDefault="006F6C5D" w:rsidP="006F6C5D">
      <w:pPr>
        <w:adjustRightInd w:val="0"/>
        <w:snapToGrid w:val="0"/>
        <w:spacing w:before="100" w:beforeAutospacing="1" w:after="100" w:afterAutospacing="1" w:line="560" w:lineRule="exact"/>
        <w:ind w:firstLine="480"/>
        <w:rPr>
          <w:rFonts w:ascii="宋体" w:hAnsi="宋体"/>
          <w:sz w:val="24"/>
        </w:rPr>
      </w:pPr>
      <w:r w:rsidRPr="00FD1749">
        <w:rPr>
          <w:rFonts w:hint="eastAsia"/>
          <w:color w:val="000000"/>
          <w:sz w:val="24"/>
        </w:rPr>
        <w:t>法人加盖公章</w:t>
      </w:r>
      <w:r w:rsidRPr="00FD1749">
        <w:rPr>
          <w:color w:val="000000"/>
          <w:sz w:val="24"/>
        </w:rPr>
        <w:t xml:space="preserve">                 </w:t>
      </w:r>
      <w:r w:rsidRPr="00FD1749">
        <w:rPr>
          <w:rFonts w:hint="eastAsia"/>
          <w:color w:val="000000"/>
          <w:sz w:val="24"/>
        </w:rPr>
        <w:t>自然人</w:t>
      </w:r>
      <w:r w:rsidRPr="00FD1749">
        <w:rPr>
          <w:color w:val="000000"/>
          <w:sz w:val="24"/>
        </w:rPr>
        <w:t>/</w:t>
      </w:r>
      <w:r w:rsidRPr="00FD1749">
        <w:rPr>
          <w:rFonts w:hint="eastAsia"/>
          <w:color w:val="000000"/>
          <w:sz w:val="24"/>
        </w:rPr>
        <w:t>法定代表人或被授权人签字</w:t>
      </w:r>
    </w:p>
    <w:p w14:paraId="7E2B2B38" w14:textId="77777777" w:rsidR="00C20CF3" w:rsidRPr="006F6C5D" w:rsidRDefault="006F6C5D" w:rsidP="006F6C5D">
      <w:pPr>
        <w:spacing w:line="360" w:lineRule="auto"/>
        <w:rPr>
          <w:b/>
          <w:sz w:val="24"/>
        </w:rPr>
      </w:pPr>
      <w:r w:rsidRPr="00FD1749">
        <w:rPr>
          <w:b/>
          <w:noProof/>
          <w:sz w:val="24"/>
        </w:rPr>
        <w:drawing>
          <wp:anchor distT="0" distB="0" distL="114300" distR="114300" simplePos="0" relativeHeight="251659264" behindDoc="0" locked="0" layoutInCell="1" allowOverlap="1" wp14:anchorId="7DF55529" wp14:editId="47D110BD">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3586F" w14:textId="77777777" w:rsidR="000F0C93" w:rsidRDefault="000F0C93" w:rsidP="006F6C5D">
      <w:r>
        <w:separator/>
      </w:r>
    </w:p>
  </w:endnote>
  <w:endnote w:type="continuationSeparator" w:id="0">
    <w:p w14:paraId="3C76EDFE" w14:textId="77777777" w:rsidR="000F0C93" w:rsidRDefault="000F0C93"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TXihei">
    <w:altName w:val="STXi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361B" w14:textId="77777777" w:rsidR="00FD1749" w:rsidRDefault="00FD17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32501"/>
      <w:docPartObj>
        <w:docPartGallery w:val="Page Numbers (Bottom of Page)"/>
        <w:docPartUnique/>
      </w:docPartObj>
    </w:sdtPr>
    <w:sdtEndPr/>
    <w:sdtContent>
      <w:p w14:paraId="27F49BF9" w14:textId="77777777" w:rsidR="00E05D97" w:rsidRDefault="008F7871">
        <w:pPr>
          <w:pStyle w:val="a5"/>
          <w:jc w:val="center"/>
        </w:pPr>
        <w:r>
          <w:fldChar w:fldCharType="begin"/>
        </w:r>
        <w:r w:rsidR="00E05D97">
          <w:instrText xml:space="preserve"> PAGE   \* MERGEFORMAT </w:instrText>
        </w:r>
        <w:r>
          <w:fldChar w:fldCharType="separate"/>
        </w:r>
        <w:r w:rsidR="00FD1749" w:rsidRPr="00FD1749">
          <w:rPr>
            <w:noProof/>
            <w:lang w:val="zh-CN"/>
          </w:rPr>
          <w:t>1</w:t>
        </w:r>
        <w:r>
          <w:rPr>
            <w:noProof/>
            <w:lang w:val="zh-CN"/>
          </w:rPr>
          <w:fldChar w:fldCharType="end"/>
        </w:r>
      </w:p>
    </w:sdtContent>
  </w:sdt>
  <w:p w14:paraId="6E106A28" w14:textId="77777777" w:rsidR="00E05D97" w:rsidRDefault="00E05D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F935" w14:textId="77777777" w:rsidR="00FD1749" w:rsidRDefault="00FD1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3E44F" w14:textId="77777777" w:rsidR="000F0C93" w:rsidRDefault="000F0C93" w:rsidP="006F6C5D">
      <w:r>
        <w:separator/>
      </w:r>
    </w:p>
  </w:footnote>
  <w:footnote w:type="continuationSeparator" w:id="0">
    <w:p w14:paraId="3B1BE188" w14:textId="77777777" w:rsidR="000F0C93" w:rsidRDefault="000F0C93" w:rsidP="006F6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A26ED" w14:textId="77777777" w:rsidR="00FD1749" w:rsidRDefault="00FD17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5434" w14:textId="77777777" w:rsidR="00E05D97" w:rsidRPr="00A07080" w:rsidRDefault="00E05D97" w:rsidP="00A07080">
    <w:pPr>
      <w:pStyle w:val="a3"/>
    </w:pPr>
    <w:bookmarkStart w:id="1" w:name="_GoBack"/>
    <w:r w:rsidRPr="00C36006">
      <w:rPr>
        <w:bCs/>
        <w:sz w:val="24"/>
      </w:rPr>
      <w:t>财通</w:t>
    </w:r>
    <w:r>
      <w:rPr>
        <w:rFonts w:hint="eastAsia"/>
        <w:bCs/>
        <w:sz w:val="24"/>
      </w:rPr>
      <w:t>裕惠</w:t>
    </w:r>
    <w:r>
      <w:rPr>
        <w:rFonts w:hint="eastAsia"/>
        <w:bCs/>
        <w:sz w:val="24"/>
      </w:rPr>
      <w:t>63</w:t>
    </w:r>
    <w:r>
      <w:rPr>
        <w:rFonts w:hint="eastAsia"/>
        <w:bCs/>
        <w:sz w:val="24"/>
      </w:rPr>
      <w:t>个月定期开放债券型</w:t>
    </w:r>
    <w:r w:rsidRPr="00C36006">
      <w:rPr>
        <w:bCs/>
        <w:sz w:val="24"/>
      </w:rPr>
      <w:t>证券投资基金</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557A1" w14:textId="77777777" w:rsidR="00FD1749" w:rsidRDefault="00FD17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FFC0D7C"/>
    <w:multiLevelType w:val="hybridMultilevel"/>
    <w:tmpl w:val="59DE039C"/>
    <w:lvl w:ilvl="0" w:tplc="AF7004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5D"/>
    <w:rsid w:val="00001188"/>
    <w:rsid w:val="000029B2"/>
    <w:rsid w:val="000207B9"/>
    <w:rsid w:val="0002105A"/>
    <w:rsid w:val="00021B52"/>
    <w:rsid w:val="00023072"/>
    <w:rsid w:val="00025198"/>
    <w:rsid w:val="0002731B"/>
    <w:rsid w:val="00030B27"/>
    <w:rsid w:val="000348B1"/>
    <w:rsid w:val="00035AEA"/>
    <w:rsid w:val="000362A0"/>
    <w:rsid w:val="00040255"/>
    <w:rsid w:val="000450EB"/>
    <w:rsid w:val="00045312"/>
    <w:rsid w:val="000468FE"/>
    <w:rsid w:val="00050036"/>
    <w:rsid w:val="00051150"/>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251C"/>
    <w:rsid w:val="000D56B8"/>
    <w:rsid w:val="000E3058"/>
    <w:rsid w:val="000E30CB"/>
    <w:rsid w:val="000F0C93"/>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732F8"/>
    <w:rsid w:val="002841D5"/>
    <w:rsid w:val="00284CCF"/>
    <w:rsid w:val="002914BE"/>
    <w:rsid w:val="00293057"/>
    <w:rsid w:val="00294874"/>
    <w:rsid w:val="002A1C03"/>
    <w:rsid w:val="002A74B6"/>
    <w:rsid w:val="002B09AA"/>
    <w:rsid w:val="002B1D3D"/>
    <w:rsid w:val="002B2D83"/>
    <w:rsid w:val="002B36CA"/>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D644D"/>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8B4"/>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0DC"/>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622"/>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769A"/>
    <w:rsid w:val="005E02F2"/>
    <w:rsid w:val="005E5412"/>
    <w:rsid w:val="005E6E07"/>
    <w:rsid w:val="005F0A4C"/>
    <w:rsid w:val="005F7A05"/>
    <w:rsid w:val="00605F21"/>
    <w:rsid w:val="00624B74"/>
    <w:rsid w:val="006274DC"/>
    <w:rsid w:val="00631ABF"/>
    <w:rsid w:val="00642309"/>
    <w:rsid w:val="00654D2D"/>
    <w:rsid w:val="00654FFE"/>
    <w:rsid w:val="00660D04"/>
    <w:rsid w:val="00661EAB"/>
    <w:rsid w:val="00665C7C"/>
    <w:rsid w:val="006768C7"/>
    <w:rsid w:val="00691041"/>
    <w:rsid w:val="00693FF1"/>
    <w:rsid w:val="0069549F"/>
    <w:rsid w:val="00697835"/>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3581B"/>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25C7"/>
    <w:rsid w:val="007D2AD8"/>
    <w:rsid w:val="007D6CB2"/>
    <w:rsid w:val="007D7CDA"/>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E0851"/>
    <w:rsid w:val="008E4E1E"/>
    <w:rsid w:val="008F7871"/>
    <w:rsid w:val="008F78B7"/>
    <w:rsid w:val="0090018C"/>
    <w:rsid w:val="00901D0E"/>
    <w:rsid w:val="0090447A"/>
    <w:rsid w:val="009133B8"/>
    <w:rsid w:val="00917C53"/>
    <w:rsid w:val="009243F8"/>
    <w:rsid w:val="0092723B"/>
    <w:rsid w:val="00930265"/>
    <w:rsid w:val="00933794"/>
    <w:rsid w:val="00943021"/>
    <w:rsid w:val="00961CC7"/>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47F96"/>
    <w:rsid w:val="00A528E3"/>
    <w:rsid w:val="00A5315C"/>
    <w:rsid w:val="00A534D2"/>
    <w:rsid w:val="00A55CF7"/>
    <w:rsid w:val="00A578D7"/>
    <w:rsid w:val="00A60226"/>
    <w:rsid w:val="00A614B9"/>
    <w:rsid w:val="00A86A73"/>
    <w:rsid w:val="00A86CA4"/>
    <w:rsid w:val="00A938B7"/>
    <w:rsid w:val="00A96897"/>
    <w:rsid w:val="00AA062F"/>
    <w:rsid w:val="00AA33DF"/>
    <w:rsid w:val="00AA42DC"/>
    <w:rsid w:val="00AA71D1"/>
    <w:rsid w:val="00AC350A"/>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2DE0"/>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317"/>
    <w:rsid w:val="00CD1508"/>
    <w:rsid w:val="00CD6D99"/>
    <w:rsid w:val="00CE5C46"/>
    <w:rsid w:val="00CF05F8"/>
    <w:rsid w:val="00D05D61"/>
    <w:rsid w:val="00D07B05"/>
    <w:rsid w:val="00D13464"/>
    <w:rsid w:val="00D141B5"/>
    <w:rsid w:val="00D14BAC"/>
    <w:rsid w:val="00D168EF"/>
    <w:rsid w:val="00D21D7A"/>
    <w:rsid w:val="00D2227F"/>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E04CC"/>
    <w:rsid w:val="00DE0BD0"/>
    <w:rsid w:val="00DE51C5"/>
    <w:rsid w:val="00E05D96"/>
    <w:rsid w:val="00E05D97"/>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21F9"/>
    <w:rsid w:val="00EC29E9"/>
    <w:rsid w:val="00EC763C"/>
    <w:rsid w:val="00ED5281"/>
    <w:rsid w:val="00ED53EA"/>
    <w:rsid w:val="00ED5869"/>
    <w:rsid w:val="00EE31FA"/>
    <w:rsid w:val="00EE6D98"/>
    <w:rsid w:val="00EE7299"/>
    <w:rsid w:val="00EF162C"/>
    <w:rsid w:val="00EF1EAC"/>
    <w:rsid w:val="00F01F59"/>
    <w:rsid w:val="00F01FFD"/>
    <w:rsid w:val="00F10FF1"/>
    <w:rsid w:val="00F21E1D"/>
    <w:rsid w:val="00F22859"/>
    <w:rsid w:val="00F258DF"/>
    <w:rsid w:val="00F25971"/>
    <w:rsid w:val="00F2789F"/>
    <w:rsid w:val="00F300CC"/>
    <w:rsid w:val="00F3098D"/>
    <w:rsid w:val="00F332E2"/>
    <w:rsid w:val="00F40338"/>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6838"/>
    <w:rsid w:val="00FB02C4"/>
    <w:rsid w:val="00FB1F77"/>
    <w:rsid w:val="00FB20BD"/>
    <w:rsid w:val="00FB4088"/>
    <w:rsid w:val="00FB512D"/>
    <w:rsid w:val="00FC0B1A"/>
    <w:rsid w:val="00FC13E7"/>
    <w:rsid w:val="00FC262F"/>
    <w:rsid w:val="00FD1151"/>
    <w:rsid w:val="00FD1749"/>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0B9EE"/>
  <w15:docId w15:val="{560677D2-904A-46DD-BA4E-2A56BC9F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F6C5D"/>
    <w:rPr>
      <w:sz w:val="18"/>
      <w:szCs w:val="18"/>
    </w:rPr>
  </w:style>
  <w:style w:type="paragraph" w:styleId="a5">
    <w:name w:val="footer"/>
    <w:basedOn w:val="a"/>
    <w:link w:val="a6"/>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F6C5D"/>
    <w:rPr>
      <w:sz w:val="18"/>
      <w:szCs w:val="18"/>
    </w:rPr>
  </w:style>
  <w:style w:type="paragraph" w:customStyle="1" w:styleId="a7">
    <w:name w:val="正文所"/>
    <w:basedOn w:val="a"/>
    <w:rsid w:val="006F6C5D"/>
    <w:pPr>
      <w:spacing w:line="360" w:lineRule="auto"/>
      <w:ind w:firstLineChars="200" w:firstLine="420"/>
    </w:pPr>
    <w:rPr>
      <w:rFonts w:ascii="宋体"/>
      <w:szCs w:val="20"/>
    </w:rPr>
  </w:style>
  <w:style w:type="paragraph" w:styleId="a8">
    <w:name w:val="Body Text"/>
    <w:basedOn w:val="a"/>
    <w:link w:val="a9"/>
    <w:rsid w:val="006F6C5D"/>
    <w:pPr>
      <w:spacing w:after="120"/>
    </w:pPr>
  </w:style>
  <w:style w:type="character" w:customStyle="1" w:styleId="a9">
    <w:name w:val="正文文本 字符"/>
    <w:basedOn w:val="a0"/>
    <w:link w:val="a8"/>
    <w:rsid w:val="006F6C5D"/>
    <w:rPr>
      <w:rFonts w:ascii="Times New Roman" w:eastAsia="宋体" w:hAnsi="Times New Roman" w:cs="Times New Roman"/>
      <w:szCs w:val="24"/>
    </w:rPr>
  </w:style>
  <w:style w:type="paragraph" w:styleId="2">
    <w:name w:val="Body Text Indent 2"/>
    <w:basedOn w:val="a"/>
    <w:link w:val="20"/>
    <w:rsid w:val="006F6C5D"/>
    <w:pPr>
      <w:spacing w:after="120" w:line="480" w:lineRule="auto"/>
      <w:ind w:leftChars="200" w:left="420"/>
    </w:pPr>
  </w:style>
  <w:style w:type="character" w:customStyle="1" w:styleId="20">
    <w:name w:val="正文文本缩进 2 字符"/>
    <w:basedOn w:val="a0"/>
    <w:link w:val="2"/>
    <w:rsid w:val="006F6C5D"/>
    <w:rPr>
      <w:rFonts w:ascii="Times New Roman" w:eastAsia="宋体" w:hAnsi="Times New Roman" w:cs="Times New Roman"/>
      <w:szCs w:val="24"/>
    </w:rPr>
  </w:style>
  <w:style w:type="paragraph" w:styleId="aa">
    <w:name w:val="Document Map"/>
    <w:basedOn w:val="a"/>
    <w:link w:val="ab"/>
    <w:uiPriority w:val="99"/>
    <w:semiHidden/>
    <w:unhideWhenUsed/>
    <w:rsid w:val="006F6C5D"/>
    <w:rPr>
      <w:rFonts w:ascii="宋体"/>
      <w:sz w:val="18"/>
      <w:szCs w:val="18"/>
    </w:rPr>
  </w:style>
  <w:style w:type="character" w:customStyle="1" w:styleId="ab">
    <w:name w:val="文档结构图 字符"/>
    <w:basedOn w:val="a0"/>
    <w:link w:val="aa"/>
    <w:uiPriority w:val="99"/>
    <w:semiHidden/>
    <w:rsid w:val="006F6C5D"/>
    <w:rPr>
      <w:rFonts w:ascii="宋体" w:eastAsia="宋体" w:hAnsi="Times New Roman" w:cs="Times New Roman"/>
      <w:sz w:val="18"/>
      <w:szCs w:val="18"/>
    </w:rPr>
  </w:style>
  <w:style w:type="paragraph" w:styleId="ac">
    <w:name w:val="List Paragraph"/>
    <w:basedOn w:val="a"/>
    <w:uiPriority w:val="34"/>
    <w:qFormat/>
    <w:rsid w:val="004E5820"/>
    <w:pPr>
      <w:ind w:firstLineChars="200" w:firstLine="420"/>
    </w:pPr>
  </w:style>
  <w:style w:type="paragraph" w:styleId="ad">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e">
    <w:name w:val="Hyperlink"/>
    <w:basedOn w:val="a0"/>
    <w:uiPriority w:val="99"/>
    <w:unhideWhenUsed/>
    <w:rsid w:val="00461A82"/>
    <w:rPr>
      <w:color w:val="0000FF" w:themeColor="hyperlink"/>
      <w:u w:val="single"/>
    </w:rPr>
  </w:style>
  <w:style w:type="paragraph" w:styleId="af">
    <w:name w:val="Balloon Text"/>
    <w:basedOn w:val="a"/>
    <w:link w:val="af0"/>
    <w:uiPriority w:val="99"/>
    <w:semiHidden/>
    <w:unhideWhenUsed/>
    <w:rsid w:val="00735630"/>
    <w:rPr>
      <w:sz w:val="18"/>
      <w:szCs w:val="18"/>
    </w:rPr>
  </w:style>
  <w:style w:type="character" w:customStyle="1" w:styleId="af0">
    <w:name w:val="批注框文本 字符"/>
    <w:basedOn w:val="a0"/>
    <w:link w:val="af"/>
    <w:uiPriority w:val="99"/>
    <w:semiHidden/>
    <w:rsid w:val="00735630"/>
    <w:rPr>
      <w:rFonts w:ascii="Times New Roman" w:eastAsia="宋体" w:hAnsi="Times New Roman" w:cs="Times New Roman"/>
      <w:sz w:val="18"/>
      <w:szCs w:val="18"/>
    </w:rPr>
  </w:style>
  <w:style w:type="character" w:styleId="af1">
    <w:name w:val="annotation reference"/>
    <w:basedOn w:val="a0"/>
    <w:uiPriority w:val="99"/>
    <w:semiHidden/>
    <w:unhideWhenUsed/>
    <w:rsid w:val="00735630"/>
    <w:rPr>
      <w:sz w:val="21"/>
      <w:szCs w:val="21"/>
    </w:rPr>
  </w:style>
  <w:style w:type="paragraph" w:styleId="af2">
    <w:name w:val="annotation text"/>
    <w:basedOn w:val="a"/>
    <w:link w:val="af3"/>
    <w:uiPriority w:val="99"/>
    <w:semiHidden/>
    <w:unhideWhenUsed/>
    <w:rsid w:val="00735630"/>
    <w:pPr>
      <w:jc w:val="left"/>
    </w:pPr>
  </w:style>
  <w:style w:type="character" w:customStyle="1" w:styleId="af3">
    <w:name w:val="批注文字 字符"/>
    <w:basedOn w:val="a0"/>
    <w:link w:val="af2"/>
    <w:uiPriority w:val="99"/>
    <w:semiHidden/>
    <w:rsid w:val="00735630"/>
    <w:rPr>
      <w:rFonts w:ascii="Times New Roman" w:eastAsia="宋体" w:hAnsi="Times New Roman" w:cs="Times New Roman"/>
      <w:szCs w:val="24"/>
    </w:rPr>
  </w:style>
  <w:style w:type="paragraph" w:styleId="af4">
    <w:name w:val="annotation subject"/>
    <w:basedOn w:val="af2"/>
    <w:next w:val="af2"/>
    <w:link w:val="af5"/>
    <w:uiPriority w:val="99"/>
    <w:semiHidden/>
    <w:unhideWhenUsed/>
    <w:rsid w:val="00735630"/>
    <w:rPr>
      <w:b/>
      <w:bCs/>
    </w:rPr>
  </w:style>
  <w:style w:type="character" w:customStyle="1" w:styleId="af5">
    <w:name w:val="批注主题 字符"/>
    <w:basedOn w:val="af3"/>
    <w:link w:val="af4"/>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rvice@ctfund.com&#6530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07E8-9C79-47D0-98F2-872532F7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125491785@qq.com</cp:lastModifiedBy>
  <cp:revision>2</cp:revision>
  <cp:lastPrinted>2017-06-19T05:57:00Z</cp:lastPrinted>
  <dcterms:created xsi:type="dcterms:W3CDTF">2020-02-14T09:12:00Z</dcterms:created>
  <dcterms:modified xsi:type="dcterms:W3CDTF">2020-02-14T09:12:00Z</dcterms:modified>
</cp:coreProperties>
</file>