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366" w:rsidRPr="007B14D9" w:rsidRDefault="00720366" w:rsidP="00720366">
      <w:pPr>
        <w:tabs>
          <w:tab w:val="left" w:pos="360"/>
        </w:tabs>
        <w:spacing w:line="360" w:lineRule="auto"/>
        <w:rPr>
          <w:rFonts w:ascii="宋体" w:hAnsi="宋体"/>
          <w:b/>
          <w:sz w:val="30"/>
          <w:szCs w:val="30"/>
        </w:rPr>
      </w:pPr>
    </w:p>
    <w:p w:rsidR="00720366" w:rsidRPr="007B14D9" w:rsidRDefault="00720366" w:rsidP="00720366">
      <w:pPr>
        <w:tabs>
          <w:tab w:val="left" w:pos="360"/>
        </w:tabs>
        <w:spacing w:line="360" w:lineRule="auto"/>
        <w:rPr>
          <w:rFonts w:ascii="宋体" w:hAnsi="宋体"/>
          <w:b/>
          <w:sz w:val="30"/>
          <w:szCs w:val="30"/>
        </w:rPr>
      </w:pPr>
    </w:p>
    <w:p w:rsidR="00720366" w:rsidRPr="007B14D9" w:rsidRDefault="00720366" w:rsidP="00720366">
      <w:pPr>
        <w:tabs>
          <w:tab w:val="left" w:pos="360"/>
        </w:tabs>
        <w:spacing w:line="360" w:lineRule="auto"/>
        <w:rPr>
          <w:rFonts w:ascii="宋体" w:hAnsi="宋体"/>
          <w:b/>
          <w:sz w:val="30"/>
          <w:szCs w:val="30"/>
        </w:rPr>
      </w:pPr>
    </w:p>
    <w:p w:rsidR="00720366" w:rsidRPr="007B14D9" w:rsidRDefault="00720366" w:rsidP="00720366">
      <w:pPr>
        <w:rPr>
          <w:b/>
          <w:sz w:val="44"/>
          <w:szCs w:val="44"/>
        </w:rPr>
      </w:pPr>
    </w:p>
    <w:p w:rsidR="00720366" w:rsidRPr="007B14D9" w:rsidRDefault="00720366" w:rsidP="00720366">
      <w:pPr>
        <w:rPr>
          <w:b/>
          <w:sz w:val="44"/>
          <w:szCs w:val="44"/>
        </w:rPr>
      </w:pPr>
    </w:p>
    <w:p w:rsidR="00720366" w:rsidRPr="007B14D9" w:rsidRDefault="00720366" w:rsidP="00720366">
      <w:pPr>
        <w:jc w:val="center"/>
        <w:rPr>
          <w:b/>
          <w:sz w:val="44"/>
          <w:szCs w:val="44"/>
        </w:rPr>
      </w:pPr>
      <w:bookmarkStart w:id="0" w:name="_Toc381708701"/>
      <w:bookmarkStart w:id="1" w:name="_Toc423695850"/>
      <w:bookmarkStart w:id="2" w:name="_Toc481674130"/>
      <w:bookmarkStart w:id="3" w:name="_Toc481675590"/>
      <w:bookmarkStart w:id="4" w:name="_GoBack"/>
      <w:r w:rsidRPr="007B14D9">
        <w:rPr>
          <w:b/>
          <w:sz w:val="44"/>
          <w:szCs w:val="44"/>
        </w:rPr>
        <w:t>财通基金管理有限公司</w:t>
      </w:r>
      <w:bookmarkEnd w:id="0"/>
      <w:bookmarkEnd w:id="1"/>
      <w:bookmarkEnd w:id="2"/>
      <w:bookmarkEnd w:id="3"/>
    </w:p>
    <w:p w:rsidR="00720366" w:rsidRPr="007B14D9" w:rsidRDefault="00720366" w:rsidP="00720366">
      <w:pPr>
        <w:jc w:val="center"/>
        <w:rPr>
          <w:b/>
          <w:sz w:val="44"/>
          <w:szCs w:val="44"/>
        </w:rPr>
      </w:pPr>
      <w:bookmarkStart w:id="5" w:name="_Toc423695851"/>
      <w:bookmarkStart w:id="6" w:name="_Toc481674131"/>
      <w:bookmarkStart w:id="7" w:name="_Toc481675591"/>
      <w:r w:rsidRPr="007B14D9">
        <w:rPr>
          <w:rFonts w:hint="eastAsia"/>
          <w:b/>
          <w:sz w:val="44"/>
          <w:szCs w:val="44"/>
        </w:rPr>
        <w:t>产品风险评价指引</w:t>
      </w:r>
      <w:bookmarkEnd w:id="5"/>
      <w:bookmarkEnd w:id="6"/>
      <w:bookmarkEnd w:id="7"/>
    </w:p>
    <w:bookmarkEnd w:id="4"/>
    <w:p w:rsidR="00720366" w:rsidRPr="00AF74B4" w:rsidRDefault="00AF74B4" w:rsidP="00720366">
      <w:pPr>
        <w:pStyle w:val="ae"/>
        <w:rPr>
          <w:sz w:val="28"/>
          <w:szCs w:val="28"/>
        </w:rPr>
      </w:pPr>
      <w:r w:rsidRPr="00AF74B4">
        <w:rPr>
          <w:rFonts w:hint="eastAsia"/>
          <w:sz w:val="28"/>
          <w:szCs w:val="28"/>
        </w:rPr>
        <w:t>（</w:t>
      </w:r>
      <w:r w:rsidRPr="00AF74B4">
        <w:rPr>
          <w:rFonts w:hint="eastAsia"/>
          <w:sz w:val="28"/>
          <w:szCs w:val="28"/>
        </w:rPr>
        <w:t>2015</w:t>
      </w:r>
      <w:r w:rsidRPr="00AF74B4">
        <w:rPr>
          <w:rFonts w:hint="eastAsia"/>
          <w:sz w:val="28"/>
          <w:szCs w:val="28"/>
        </w:rPr>
        <w:t>年</w:t>
      </w:r>
      <w:r w:rsidRPr="00AF74B4">
        <w:rPr>
          <w:rFonts w:hint="eastAsia"/>
          <w:sz w:val="28"/>
          <w:szCs w:val="28"/>
        </w:rPr>
        <w:t>7</w:t>
      </w:r>
      <w:r w:rsidRPr="00AF74B4">
        <w:rPr>
          <w:rFonts w:hint="eastAsia"/>
          <w:sz w:val="28"/>
          <w:szCs w:val="28"/>
        </w:rPr>
        <w:t>月制定，</w:t>
      </w:r>
      <w:r w:rsidR="00BC3FE3" w:rsidRPr="00AF74B4">
        <w:rPr>
          <w:rFonts w:hint="eastAsia"/>
          <w:sz w:val="28"/>
          <w:szCs w:val="28"/>
        </w:rPr>
        <w:t>2018</w:t>
      </w:r>
      <w:r w:rsidR="00BC3FE3" w:rsidRPr="00AF74B4">
        <w:rPr>
          <w:rFonts w:hint="eastAsia"/>
          <w:sz w:val="28"/>
          <w:szCs w:val="28"/>
        </w:rPr>
        <w:t>年</w:t>
      </w:r>
      <w:r w:rsidR="00BC3FE3">
        <w:rPr>
          <w:rFonts w:hint="eastAsia"/>
          <w:sz w:val="28"/>
          <w:szCs w:val="28"/>
        </w:rPr>
        <w:t>5</w:t>
      </w:r>
      <w:r w:rsidRPr="00AF74B4">
        <w:rPr>
          <w:rFonts w:hint="eastAsia"/>
          <w:sz w:val="28"/>
          <w:szCs w:val="28"/>
        </w:rPr>
        <w:t>月第二次修订）</w:t>
      </w:r>
    </w:p>
    <w:p w:rsidR="00720366" w:rsidRPr="007B14D9" w:rsidRDefault="00720366" w:rsidP="00720366"/>
    <w:p w:rsidR="00720366" w:rsidRPr="007B14D9" w:rsidRDefault="00720366" w:rsidP="00720366">
      <w:pPr>
        <w:ind w:firstLineChars="100" w:firstLine="442"/>
        <w:rPr>
          <w:b/>
          <w:sz w:val="44"/>
          <w:szCs w:val="44"/>
        </w:rPr>
      </w:pPr>
    </w:p>
    <w:p w:rsidR="00720366" w:rsidRPr="007B14D9" w:rsidRDefault="00720366" w:rsidP="00720366">
      <w:pPr>
        <w:ind w:firstLineChars="100" w:firstLine="442"/>
        <w:rPr>
          <w:b/>
          <w:sz w:val="44"/>
          <w:szCs w:val="44"/>
        </w:rPr>
      </w:pPr>
    </w:p>
    <w:p w:rsidR="00720366" w:rsidRPr="007B14D9" w:rsidRDefault="00720366" w:rsidP="00720366">
      <w:pPr>
        <w:ind w:firstLineChars="100" w:firstLine="442"/>
        <w:rPr>
          <w:b/>
          <w:sz w:val="44"/>
          <w:szCs w:val="44"/>
        </w:rPr>
      </w:pPr>
    </w:p>
    <w:p w:rsidR="00720366" w:rsidRPr="007B14D9" w:rsidRDefault="00720366" w:rsidP="00720366">
      <w:pPr>
        <w:ind w:firstLineChars="100" w:firstLine="442"/>
        <w:rPr>
          <w:b/>
          <w:sz w:val="44"/>
          <w:szCs w:val="44"/>
        </w:rPr>
      </w:pPr>
    </w:p>
    <w:p w:rsidR="00720366" w:rsidRPr="007B14D9" w:rsidRDefault="00720366" w:rsidP="00720366">
      <w:pPr>
        <w:ind w:firstLineChars="100" w:firstLine="442"/>
        <w:rPr>
          <w:b/>
          <w:sz w:val="44"/>
          <w:szCs w:val="44"/>
        </w:rPr>
      </w:pPr>
    </w:p>
    <w:p w:rsidR="00720366" w:rsidRPr="007B14D9" w:rsidRDefault="00720366" w:rsidP="00720366">
      <w:pPr>
        <w:ind w:firstLineChars="100" w:firstLine="442"/>
        <w:rPr>
          <w:b/>
          <w:sz w:val="44"/>
          <w:szCs w:val="44"/>
        </w:rPr>
      </w:pPr>
    </w:p>
    <w:p w:rsidR="00720366" w:rsidRPr="007B14D9" w:rsidRDefault="00720366" w:rsidP="00720366">
      <w:pPr>
        <w:ind w:firstLineChars="100" w:firstLine="442"/>
        <w:rPr>
          <w:b/>
          <w:sz w:val="44"/>
          <w:szCs w:val="44"/>
        </w:rPr>
      </w:pPr>
    </w:p>
    <w:p w:rsidR="00720366" w:rsidRPr="007B14D9" w:rsidRDefault="00720366" w:rsidP="00720366">
      <w:pPr>
        <w:ind w:firstLineChars="100" w:firstLine="442"/>
        <w:rPr>
          <w:b/>
          <w:sz w:val="44"/>
          <w:szCs w:val="44"/>
        </w:rPr>
      </w:pPr>
    </w:p>
    <w:p w:rsidR="00720366" w:rsidRPr="007B14D9" w:rsidRDefault="00720366" w:rsidP="00720366">
      <w:pPr>
        <w:ind w:firstLineChars="100" w:firstLine="442"/>
        <w:rPr>
          <w:b/>
          <w:sz w:val="44"/>
          <w:szCs w:val="44"/>
        </w:rPr>
      </w:pPr>
    </w:p>
    <w:p w:rsidR="00720366" w:rsidRPr="007B14D9" w:rsidRDefault="00720366" w:rsidP="00720366">
      <w:pPr>
        <w:ind w:firstLineChars="100" w:firstLine="442"/>
        <w:rPr>
          <w:b/>
          <w:sz w:val="44"/>
          <w:szCs w:val="44"/>
        </w:rPr>
      </w:pPr>
    </w:p>
    <w:p w:rsidR="00720366" w:rsidRPr="007B14D9" w:rsidRDefault="00720366" w:rsidP="00720366">
      <w:pPr>
        <w:jc w:val="center"/>
        <w:rPr>
          <w:b/>
          <w:sz w:val="28"/>
          <w:szCs w:val="28"/>
        </w:rPr>
      </w:pPr>
      <w:r w:rsidRPr="007B14D9">
        <w:rPr>
          <w:b/>
          <w:sz w:val="28"/>
          <w:szCs w:val="28"/>
        </w:rPr>
        <w:t>财通基金管理有限公司</w:t>
      </w:r>
    </w:p>
    <w:p w:rsidR="00720366" w:rsidRPr="007B14D9" w:rsidRDefault="00720366" w:rsidP="00720366">
      <w:pPr>
        <w:jc w:val="center"/>
        <w:rPr>
          <w:b/>
          <w:sz w:val="28"/>
          <w:szCs w:val="28"/>
        </w:rPr>
      </w:pPr>
      <w:r w:rsidRPr="007B14D9">
        <w:rPr>
          <w:b/>
          <w:sz w:val="28"/>
          <w:szCs w:val="28"/>
        </w:rPr>
        <w:t>二</w:t>
      </w:r>
      <w:r w:rsidRPr="007B14D9">
        <w:rPr>
          <w:rFonts w:hint="eastAsia"/>
          <w:b/>
          <w:sz w:val="28"/>
          <w:szCs w:val="28"/>
        </w:rPr>
        <w:t>○</w:t>
      </w:r>
      <w:r w:rsidRPr="007B14D9">
        <w:rPr>
          <w:b/>
          <w:sz w:val="28"/>
          <w:szCs w:val="28"/>
        </w:rPr>
        <w:t>一</w:t>
      </w:r>
      <w:r w:rsidR="00956D08">
        <w:rPr>
          <w:rFonts w:hint="eastAsia"/>
          <w:b/>
          <w:sz w:val="28"/>
          <w:szCs w:val="28"/>
        </w:rPr>
        <w:t>八</w:t>
      </w:r>
      <w:r w:rsidRPr="007B14D9">
        <w:rPr>
          <w:b/>
          <w:sz w:val="28"/>
          <w:szCs w:val="28"/>
        </w:rPr>
        <w:t>年</w:t>
      </w:r>
      <w:r w:rsidR="00956D08">
        <w:rPr>
          <w:rFonts w:hint="eastAsia"/>
          <w:b/>
          <w:sz w:val="28"/>
          <w:szCs w:val="28"/>
        </w:rPr>
        <w:t>五</w:t>
      </w:r>
      <w:r w:rsidRPr="007B14D9">
        <w:rPr>
          <w:b/>
          <w:sz w:val="28"/>
          <w:szCs w:val="28"/>
        </w:rPr>
        <w:t>月</w:t>
      </w:r>
    </w:p>
    <w:p w:rsidR="00720366" w:rsidRPr="007B14D9" w:rsidRDefault="00720366" w:rsidP="00720366">
      <w:pPr>
        <w:tabs>
          <w:tab w:val="left" w:pos="360"/>
        </w:tabs>
        <w:spacing w:line="360" w:lineRule="auto"/>
        <w:jc w:val="center"/>
        <w:rPr>
          <w:rFonts w:ascii="宋体" w:hAnsi="宋体"/>
          <w:sz w:val="24"/>
        </w:rPr>
      </w:pPr>
    </w:p>
    <w:sdt>
      <w:sdtPr>
        <w:rPr>
          <w:rFonts w:ascii="Times New Roman" w:eastAsia="宋体" w:hAnsi="Times New Roman" w:cs="Times New Roman"/>
          <w:b w:val="0"/>
          <w:bCs w:val="0"/>
          <w:color w:val="auto"/>
          <w:kern w:val="2"/>
          <w:sz w:val="21"/>
          <w:szCs w:val="24"/>
          <w:lang w:val="zh-CN"/>
        </w:rPr>
        <w:id w:val="8724559"/>
        <w:docPartObj>
          <w:docPartGallery w:val="Table of Contents"/>
          <w:docPartUnique/>
        </w:docPartObj>
      </w:sdtPr>
      <w:sdtEndPr>
        <w:rPr>
          <w:rFonts w:asciiTheme="minorEastAsia" w:eastAsiaTheme="minorEastAsia" w:hAnsiTheme="minorEastAsia"/>
          <w:sz w:val="24"/>
          <w:lang w:val="en-US"/>
        </w:rPr>
      </w:sdtEndPr>
      <w:sdtContent>
        <w:p w:rsidR="00A60792" w:rsidRPr="007B14D9" w:rsidRDefault="00720366" w:rsidP="00720366">
          <w:pPr>
            <w:pStyle w:val="TOC"/>
            <w:spacing w:before="100" w:beforeAutospacing="1" w:after="100" w:afterAutospacing="1" w:line="360" w:lineRule="auto"/>
            <w:jc w:val="center"/>
            <w:rPr>
              <w:noProof/>
              <w:color w:val="auto"/>
            </w:rPr>
          </w:pPr>
          <w:r w:rsidRPr="007B14D9">
            <w:rPr>
              <w:color w:val="auto"/>
              <w:sz w:val="44"/>
              <w:szCs w:val="44"/>
              <w:lang w:val="zh-CN"/>
            </w:rPr>
            <w:t>目录</w:t>
          </w:r>
          <w:r w:rsidR="00BF3EA8" w:rsidRPr="007B14D9">
            <w:rPr>
              <w:rFonts w:asciiTheme="majorEastAsia" w:hAnsiTheme="majorEastAsia"/>
              <w:color w:val="auto"/>
              <w:sz w:val="24"/>
              <w:szCs w:val="24"/>
            </w:rPr>
            <w:fldChar w:fldCharType="begin"/>
          </w:r>
          <w:r w:rsidRPr="007B14D9">
            <w:rPr>
              <w:rFonts w:asciiTheme="majorEastAsia" w:hAnsiTheme="majorEastAsia"/>
              <w:color w:val="auto"/>
              <w:sz w:val="24"/>
              <w:szCs w:val="24"/>
            </w:rPr>
            <w:instrText xml:space="preserve"> TOC \o "1-3" \h \z \u </w:instrText>
          </w:r>
          <w:r w:rsidR="00BF3EA8" w:rsidRPr="007B14D9">
            <w:rPr>
              <w:rFonts w:asciiTheme="majorEastAsia" w:hAnsiTheme="majorEastAsia"/>
              <w:color w:val="auto"/>
              <w:sz w:val="24"/>
              <w:szCs w:val="24"/>
            </w:rPr>
            <w:fldChar w:fldCharType="separate"/>
          </w:r>
        </w:p>
        <w:p w:rsidR="00A60792" w:rsidRPr="00472469" w:rsidRDefault="001C2EC9">
          <w:pPr>
            <w:pStyle w:val="2"/>
            <w:rPr>
              <w:rFonts w:asciiTheme="minorEastAsia" w:eastAsiaTheme="minorEastAsia" w:hAnsiTheme="minorEastAsia" w:cstheme="minorBidi"/>
              <w:noProof/>
              <w:sz w:val="28"/>
              <w:szCs w:val="28"/>
            </w:rPr>
          </w:pPr>
          <w:hyperlink w:anchor="_Toc484028135" w:history="1">
            <w:r w:rsidR="004A4A8A" w:rsidRPr="004A4A8A">
              <w:rPr>
                <w:rStyle w:val="ad"/>
                <w:rFonts w:asciiTheme="minorEastAsia" w:eastAsiaTheme="minorEastAsia" w:hAnsiTheme="minorEastAsia" w:hint="eastAsia"/>
                <w:bCs/>
                <w:noProof/>
                <w:color w:val="auto"/>
                <w:kern w:val="0"/>
                <w:sz w:val="28"/>
                <w:szCs w:val="28"/>
              </w:rPr>
              <w:t>第一章</w:t>
            </w:r>
            <w:r w:rsidR="004A4A8A" w:rsidRPr="004A4A8A">
              <w:rPr>
                <w:rStyle w:val="ad"/>
                <w:rFonts w:asciiTheme="minorEastAsia" w:eastAsiaTheme="minorEastAsia" w:hAnsiTheme="minorEastAsia"/>
                <w:bCs/>
                <w:noProof/>
                <w:color w:val="auto"/>
                <w:kern w:val="0"/>
                <w:sz w:val="28"/>
                <w:szCs w:val="28"/>
              </w:rPr>
              <w:t xml:space="preserve">  </w:t>
            </w:r>
            <w:r w:rsidR="004A4A8A" w:rsidRPr="004A4A8A">
              <w:rPr>
                <w:rStyle w:val="ad"/>
                <w:rFonts w:asciiTheme="minorEastAsia" w:eastAsiaTheme="minorEastAsia" w:hAnsiTheme="minorEastAsia" w:hint="eastAsia"/>
                <w:bCs/>
                <w:noProof/>
                <w:color w:val="auto"/>
                <w:kern w:val="0"/>
                <w:sz w:val="28"/>
                <w:szCs w:val="28"/>
              </w:rPr>
              <w:t>总</w:t>
            </w:r>
            <w:r w:rsidR="004A4A8A" w:rsidRPr="004A4A8A">
              <w:rPr>
                <w:rStyle w:val="ad"/>
                <w:rFonts w:asciiTheme="minorEastAsia" w:eastAsiaTheme="minorEastAsia" w:hAnsiTheme="minorEastAsia"/>
                <w:bCs/>
                <w:noProof/>
                <w:color w:val="auto"/>
                <w:kern w:val="0"/>
                <w:sz w:val="28"/>
                <w:szCs w:val="28"/>
              </w:rPr>
              <w:t xml:space="preserve">  </w:t>
            </w:r>
            <w:r w:rsidR="004A4A8A" w:rsidRPr="004A4A8A">
              <w:rPr>
                <w:rStyle w:val="ad"/>
                <w:rFonts w:asciiTheme="minorEastAsia" w:eastAsiaTheme="minorEastAsia" w:hAnsiTheme="minorEastAsia" w:hint="eastAsia"/>
                <w:bCs/>
                <w:noProof/>
                <w:color w:val="auto"/>
                <w:kern w:val="0"/>
                <w:sz w:val="28"/>
                <w:szCs w:val="28"/>
              </w:rPr>
              <w:t>则</w:t>
            </w:r>
            <w:r w:rsidR="004A4A8A" w:rsidRPr="004A4A8A">
              <w:rPr>
                <w:rFonts w:asciiTheme="minorEastAsia" w:eastAsiaTheme="minorEastAsia" w:hAnsiTheme="minorEastAsia"/>
                <w:noProof/>
                <w:webHidden/>
                <w:sz w:val="28"/>
                <w:szCs w:val="28"/>
              </w:rPr>
              <w:tab/>
            </w:r>
            <w:r w:rsidR="00BF3EA8" w:rsidRPr="004A4A8A">
              <w:rPr>
                <w:rFonts w:asciiTheme="minorEastAsia" w:eastAsiaTheme="minorEastAsia" w:hAnsiTheme="minorEastAsia"/>
                <w:noProof/>
                <w:webHidden/>
                <w:sz w:val="28"/>
                <w:szCs w:val="28"/>
              </w:rPr>
              <w:fldChar w:fldCharType="begin"/>
            </w:r>
            <w:r w:rsidR="004A4A8A" w:rsidRPr="004A4A8A">
              <w:rPr>
                <w:rFonts w:asciiTheme="minorEastAsia" w:eastAsiaTheme="minorEastAsia" w:hAnsiTheme="minorEastAsia"/>
                <w:noProof/>
                <w:webHidden/>
                <w:sz w:val="28"/>
                <w:szCs w:val="28"/>
              </w:rPr>
              <w:instrText xml:space="preserve"> PAGEREF _Toc484028135 \h </w:instrText>
            </w:r>
            <w:r w:rsidR="00BF3EA8" w:rsidRPr="004A4A8A">
              <w:rPr>
                <w:rFonts w:asciiTheme="minorEastAsia" w:eastAsiaTheme="minorEastAsia" w:hAnsiTheme="minorEastAsia"/>
                <w:noProof/>
                <w:webHidden/>
                <w:sz w:val="28"/>
                <w:szCs w:val="28"/>
              </w:rPr>
            </w:r>
            <w:r w:rsidR="00BF3EA8" w:rsidRPr="004A4A8A">
              <w:rPr>
                <w:rFonts w:asciiTheme="minorEastAsia" w:eastAsiaTheme="minorEastAsia" w:hAnsiTheme="minorEastAsia"/>
                <w:noProof/>
                <w:webHidden/>
                <w:sz w:val="28"/>
                <w:szCs w:val="28"/>
              </w:rPr>
              <w:fldChar w:fldCharType="separate"/>
            </w:r>
            <w:r w:rsidR="00984F29">
              <w:rPr>
                <w:rFonts w:asciiTheme="minorEastAsia" w:eastAsiaTheme="minorEastAsia" w:hAnsiTheme="minorEastAsia"/>
                <w:noProof/>
                <w:webHidden/>
                <w:sz w:val="28"/>
                <w:szCs w:val="28"/>
              </w:rPr>
              <w:t>3</w:t>
            </w:r>
            <w:r w:rsidR="00BF3EA8" w:rsidRPr="004A4A8A">
              <w:rPr>
                <w:rFonts w:asciiTheme="minorEastAsia" w:eastAsiaTheme="minorEastAsia" w:hAnsiTheme="minorEastAsia"/>
                <w:noProof/>
                <w:webHidden/>
                <w:sz w:val="28"/>
                <w:szCs w:val="28"/>
              </w:rPr>
              <w:fldChar w:fldCharType="end"/>
            </w:r>
          </w:hyperlink>
        </w:p>
        <w:p w:rsidR="00A60792" w:rsidRPr="00472469" w:rsidRDefault="001C2EC9">
          <w:pPr>
            <w:pStyle w:val="2"/>
            <w:rPr>
              <w:rFonts w:asciiTheme="minorEastAsia" w:eastAsiaTheme="minorEastAsia" w:hAnsiTheme="minorEastAsia" w:cstheme="minorBidi"/>
              <w:noProof/>
              <w:sz w:val="28"/>
              <w:szCs w:val="28"/>
            </w:rPr>
          </w:pPr>
          <w:hyperlink w:anchor="_Toc484028136" w:history="1">
            <w:r w:rsidR="004A4A8A" w:rsidRPr="004A4A8A">
              <w:rPr>
                <w:rStyle w:val="ad"/>
                <w:rFonts w:asciiTheme="minorEastAsia" w:eastAsiaTheme="minorEastAsia" w:hAnsiTheme="minorEastAsia" w:hint="eastAsia"/>
                <w:bCs/>
                <w:noProof/>
                <w:color w:val="auto"/>
                <w:kern w:val="0"/>
                <w:sz w:val="28"/>
                <w:szCs w:val="28"/>
              </w:rPr>
              <w:t>第二章</w:t>
            </w:r>
            <w:r w:rsidR="004A4A8A" w:rsidRPr="004A4A8A">
              <w:rPr>
                <w:rStyle w:val="ad"/>
                <w:rFonts w:asciiTheme="minorEastAsia" w:eastAsiaTheme="minorEastAsia" w:hAnsiTheme="minorEastAsia"/>
                <w:bCs/>
                <w:noProof/>
                <w:color w:val="auto"/>
                <w:kern w:val="0"/>
                <w:sz w:val="28"/>
                <w:szCs w:val="28"/>
              </w:rPr>
              <w:t xml:space="preserve">  </w:t>
            </w:r>
            <w:r w:rsidR="004A4A8A" w:rsidRPr="004A4A8A">
              <w:rPr>
                <w:rStyle w:val="ad"/>
                <w:rFonts w:asciiTheme="minorEastAsia" w:eastAsiaTheme="minorEastAsia" w:hAnsiTheme="minorEastAsia" w:hint="eastAsia"/>
                <w:bCs/>
                <w:noProof/>
                <w:color w:val="auto"/>
                <w:kern w:val="0"/>
                <w:sz w:val="28"/>
                <w:szCs w:val="28"/>
              </w:rPr>
              <w:t>公募基金产品风险评价内容及风险分级</w:t>
            </w:r>
            <w:r w:rsidR="004A4A8A" w:rsidRPr="004A4A8A">
              <w:rPr>
                <w:rFonts w:asciiTheme="minorEastAsia" w:eastAsiaTheme="minorEastAsia" w:hAnsiTheme="minorEastAsia"/>
                <w:noProof/>
                <w:webHidden/>
                <w:sz w:val="28"/>
                <w:szCs w:val="28"/>
              </w:rPr>
              <w:tab/>
            </w:r>
            <w:r w:rsidR="00BF3EA8" w:rsidRPr="004A4A8A">
              <w:rPr>
                <w:rFonts w:asciiTheme="minorEastAsia" w:eastAsiaTheme="minorEastAsia" w:hAnsiTheme="minorEastAsia"/>
                <w:noProof/>
                <w:webHidden/>
                <w:sz w:val="28"/>
                <w:szCs w:val="28"/>
              </w:rPr>
              <w:fldChar w:fldCharType="begin"/>
            </w:r>
            <w:r w:rsidR="004A4A8A" w:rsidRPr="004A4A8A">
              <w:rPr>
                <w:rFonts w:asciiTheme="minorEastAsia" w:eastAsiaTheme="minorEastAsia" w:hAnsiTheme="minorEastAsia"/>
                <w:noProof/>
                <w:webHidden/>
                <w:sz w:val="28"/>
                <w:szCs w:val="28"/>
              </w:rPr>
              <w:instrText xml:space="preserve"> PAGEREF _Toc484028136 \h </w:instrText>
            </w:r>
            <w:r w:rsidR="00BF3EA8" w:rsidRPr="004A4A8A">
              <w:rPr>
                <w:rFonts w:asciiTheme="minorEastAsia" w:eastAsiaTheme="minorEastAsia" w:hAnsiTheme="minorEastAsia"/>
                <w:noProof/>
                <w:webHidden/>
                <w:sz w:val="28"/>
                <w:szCs w:val="28"/>
              </w:rPr>
            </w:r>
            <w:r w:rsidR="00BF3EA8" w:rsidRPr="004A4A8A">
              <w:rPr>
                <w:rFonts w:asciiTheme="minorEastAsia" w:eastAsiaTheme="minorEastAsia" w:hAnsiTheme="minorEastAsia"/>
                <w:noProof/>
                <w:webHidden/>
                <w:sz w:val="28"/>
                <w:szCs w:val="28"/>
              </w:rPr>
              <w:fldChar w:fldCharType="separate"/>
            </w:r>
            <w:r w:rsidR="00984F29">
              <w:rPr>
                <w:rFonts w:asciiTheme="minorEastAsia" w:eastAsiaTheme="minorEastAsia" w:hAnsiTheme="minorEastAsia"/>
                <w:noProof/>
                <w:webHidden/>
                <w:sz w:val="28"/>
                <w:szCs w:val="28"/>
              </w:rPr>
              <w:t>3</w:t>
            </w:r>
            <w:r w:rsidR="00BF3EA8" w:rsidRPr="004A4A8A">
              <w:rPr>
                <w:rFonts w:asciiTheme="minorEastAsia" w:eastAsiaTheme="minorEastAsia" w:hAnsiTheme="minorEastAsia"/>
                <w:noProof/>
                <w:webHidden/>
                <w:sz w:val="28"/>
                <w:szCs w:val="28"/>
              </w:rPr>
              <w:fldChar w:fldCharType="end"/>
            </w:r>
          </w:hyperlink>
        </w:p>
        <w:p w:rsidR="00A60792" w:rsidRPr="00472469" w:rsidRDefault="001C2EC9">
          <w:pPr>
            <w:pStyle w:val="2"/>
            <w:rPr>
              <w:rFonts w:asciiTheme="minorEastAsia" w:eastAsiaTheme="minorEastAsia" w:hAnsiTheme="minorEastAsia" w:cstheme="minorBidi"/>
              <w:noProof/>
              <w:sz w:val="28"/>
              <w:szCs w:val="28"/>
            </w:rPr>
          </w:pPr>
          <w:hyperlink w:anchor="_Toc484028137" w:history="1">
            <w:r w:rsidR="004A4A8A" w:rsidRPr="004A4A8A">
              <w:rPr>
                <w:rStyle w:val="ad"/>
                <w:rFonts w:asciiTheme="minorEastAsia" w:eastAsiaTheme="minorEastAsia" w:hAnsiTheme="minorEastAsia" w:hint="eastAsia"/>
                <w:bCs/>
                <w:noProof/>
                <w:color w:val="auto"/>
                <w:kern w:val="0"/>
                <w:sz w:val="28"/>
                <w:szCs w:val="28"/>
              </w:rPr>
              <w:t>第三章</w:t>
            </w:r>
            <w:r w:rsidR="004A4A8A" w:rsidRPr="004A4A8A">
              <w:rPr>
                <w:rStyle w:val="ad"/>
                <w:rFonts w:asciiTheme="minorEastAsia" w:eastAsiaTheme="minorEastAsia" w:hAnsiTheme="minorEastAsia"/>
                <w:bCs/>
                <w:noProof/>
                <w:color w:val="auto"/>
                <w:kern w:val="0"/>
                <w:sz w:val="28"/>
                <w:szCs w:val="28"/>
              </w:rPr>
              <w:t xml:space="preserve">  </w:t>
            </w:r>
            <w:r w:rsidR="004A4A8A" w:rsidRPr="004A4A8A">
              <w:rPr>
                <w:rStyle w:val="ad"/>
                <w:rFonts w:asciiTheme="minorEastAsia" w:eastAsiaTheme="minorEastAsia" w:hAnsiTheme="minorEastAsia" w:hint="eastAsia"/>
                <w:bCs/>
                <w:noProof/>
                <w:color w:val="auto"/>
                <w:kern w:val="0"/>
                <w:sz w:val="28"/>
                <w:szCs w:val="28"/>
              </w:rPr>
              <w:t>公募基金产品风险评价方法</w:t>
            </w:r>
            <w:r w:rsidR="004A4A8A" w:rsidRPr="004A4A8A">
              <w:rPr>
                <w:rFonts w:asciiTheme="minorEastAsia" w:eastAsiaTheme="minorEastAsia" w:hAnsiTheme="minorEastAsia"/>
                <w:noProof/>
                <w:webHidden/>
                <w:sz w:val="28"/>
                <w:szCs w:val="28"/>
              </w:rPr>
              <w:tab/>
            </w:r>
            <w:r w:rsidR="00BF3EA8" w:rsidRPr="004A4A8A">
              <w:rPr>
                <w:rFonts w:asciiTheme="minorEastAsia" w:eastAsiaTheme="minorEastAsia" w:hAnsiTheme="minorEastAsia"/>
                <w:noProof/>
                <w:webHidden/>
                <w:sz w:val="28"/>
                <w:szCs w:val="28"/>
              </w:rPr>
              <w:fldChar w:fldCharType="begin"/>
            </w:r>
            <w:r w:rsidR="004A4A8A" w:rsidRPr="004A4A8A">
              <w:rPr>
                <w:rFonts w:asciiTheme="minorEastAsia" w:eastAsiaTheme="minorEastAsia" w:hAnsiTheme="minorEastAsia"/>
                <w:noProof/>
                <w:webHidden/>
                <w:sz w:val="28"/>
                <w:szCs w:val="28"/>
              </w:rPr>
              <w:instrText xml:space="preserve"> PAGEREF _Toc484028137 \h </w:instrText>
            </w:r>
            <w:r w:rsidR="00BF3EA8" w:rsidRPr="004A4A8A">
              <w:rPr>
                <w:rFonts w:asciiTheme="minorEastAsia" w:eastAsiaTheme="minorEastAsia" w:hAnsiTheme="minorEastAsia"/>
                <w:noProof/>
                <w:webHidden/>
                <w:sz w:val="28"/>
                <w:szCs w:val="28"/>
              </w:rPr>
            </w:r>
            <w:r w:rsidR="00BF3EA8" w:rsidRPr="004A4A8A">
              <w:rPr>
                <w:rFonts w:asciiTheme="minorEastAsia" w:eastAsiaTheme="minorEastAsia" w:hAnsiTheme="minorEastAsia"/>
                <w:noProof/>
                <w:webHidden/>
                <w:sz w:val="28"/>
                <w:szCs w:val="28"/>
              </w:rPr>
              <w:fldChar w:fldCharType="separate"/>
            </w:r>
            <w:r w:rsidR="00984F29">
              <w:rPr>
                <w:rFonts w:asciiTheme="minorEastAsia" w:eastAsiaTheme="minorEastAsia" w:hAnsiTheme="minorEastAsia"/>
                <w:noProof/>
                <w:webHidden/>
                <w:sz w:val="28"/>
                <w:szCs w:val="28"/>
              </w:rPr>
              <w:t>4</w:t>
            </w:r>
            <w:r w:rsidR="00BF3EA8" w:rsidRPr="004A4A8A">
              <w:rPr>
                <w:rFonts w:asciiTheme="minorEastAsia" w:eastAsiaTheme="minorEastAsia" w:hAnsiTheme="minorEastAsia"/>
                <w:noProof/>
                <w:webHidden/>
                <w:sz w:val="28"/>
                <w:szCs w:val="28"/>
              </w:rPr>
              <w:fldChar w:fldCharType="end"/>
            </w:r>
          </w:hyperlink>
        </w:p>
        <w:p w:rsidR="00A60792" w:rsidRPr="00472469" w:rsidRDefault="001C2EC9">
          <w:pPr>
            <w:pStyle w:val="2"/>
            <w:rPr>
              <w:rFonts w:asciiTheme="minorEastAsia" w:eastAsiaTheme="minorEastAsia" w:hAnsiTheme="minorEastAsia" w:cstheme="minorBidi"/>
              <w:noProof/>
              <w:sz w:val="28"/>
              <w:szCs w:val="28"/>
            </w:rPr>
          </w:pPr>
          <w:hyperlink w:anchor="_Toc484028138" w:history="1">
            <w:r w:rsidR="004A4A8A" w:rsidRPr="004A4A8A">
              <w:rPr>
                <w:rStyle w:val="ad"/>
                <w:rFonts w:asciiTheme="minorEastAsia" w:eastAsiaTheme="minorEastAsia" w:hAnsiTheme="minorEastAsia" w:hint="eastAsia"/>
                <w:bCs/>
                <w:noProof/>
                <w:color w:val="auto"/>
                <w:kern w:val="0"/>
                <w:sz w:val="28"/>
                <w:szCs w:val="28"/>
              </w:rPr>
              <w:t>第四章</w:t>
            </w:r>
            <w:r w:rsidR="004A4A8A" w:rsidRPr="004A4A8A">
              <w:rPr>
                <w:rStyle w:val="ad"/>
                <w:rFonts w:asciiTheme="minorEastAsia" w:eastAsiaTheme="minorEastAsia" w:hAnsiTheme="minorEastAsia"/>
                <w:bCs/>
                <w:noProof/>
                <w:color w:val="auto"/>
                <w:kern w:val="0"/>
                <w:sz w:val="28"/>
                <w:szCs w:val="28"/>
              </w:rPr>
              <w:t xml:space="preserve">  </w:t>
            </w:r>
            <w:r w:rsidR="004A4A8A" w:rsidRPr="004A4A8A">
              <w:rPr>
                <w:rStyle w:val="ad"/>
                <w:rFonts w:asciiTheme="minorEastAsia" w:eastAsiaTheme="minorEastAsia" w:hAnsiTheme="minorEastAsia" w:hint="eastAsia"/>
                <w:bCs/>
                <w:noProof/>
                <w:color w:val="auto"/>
                <w:kern w:val="0"/>
                <w:sz w:val="28"/>
                <w:szCs w:val="28"/>
              </w:rPr>
              <w:t>专户产品风险评价内容及风险分级</w:t>
            </w:r>
            <w:r w:rsidR="004A4A8A" w:rsidRPr="004A4A8A">
              <w:rPr>
                <w:rFonts w:asciiTheme="minorEastAsia" w:eastAsiaTheme="minorEastAsia" w:hAnsiTheme="minorEastAsia"/>
                <w:noProof/>
                <w:webHidden/>
                <w:sz w:val="28"/>
                <w:szCs w:val="28"/>
              </w:rPr>
              <w:tab/>
            </w:r>
            <w:r w:rsidR="00BF3EA8" w:rsidRPr="004A4A8A">
              <w:rPr>
                <w:rFonts w:asciiTheme="minorEastAsia" w:eastAsiaTheme="minorEastAsia" w:hAnsiTheme="minorEastAsia"/>
                <w:noProof/>
                <w:webHidden/>
                <w:sz w:val="28"/>
                <w:szCs w:val="28"/>
              </w:rPr>
              <w:fldChar w:fldCharType="begin"/>
            </w:r>
            <w:r w:rsidR="004A4A8A" w:rsidRPr="004A4A8A">
              <w:rPr>
                <w:rFonts w:asciiTheme="minorEastAsia" w:eastAsiaTheme="minorEastAsia" w:hAnsiTheme="minorEastAsia"/>
                <w:noProof/>
                <w:webHidden/>
                <w:sz w:val="28"/>
                <w:szCs w:val="28"/>
              </w:rPr>
              <w:instrText xml:space="preserve"> PAGEREF _Toc484028138 \h </w:instrText>
            </w:r>
            <w:r w:rsidR="00BF3EA8" w:rsidRPr="004A4A8A">
              <w:rPr>
                <w:rFonts w:asciiTheme="minorEastAsia" w:eastAsiaTheme="minorEastAsia" w:hAnsiTheme="minorEastAsia"/>
                <w:noProof/>
                <w:webHidden/>
                <w:sz w:val="28"/>
                <w:szCs w:val="28"/>
              </w:rPr>
            </w:r>
            <w:r w:rsidR="00BF3EA8" w:rsidRPr="004A4A8A">
              <w:rPr>
                <w:rFonts w:asciiTheme="minorEastAsia" w:eastAsiaTheme="minorEastAsia" w:hAnsiTheme="minorEastAsia"/>
                <w:noProof/>
                <w:webHidden/>
                <w:sz w:val="28"/>
                <w:szCs w:val="28"/>
              </w:rPr>
              <w:fldChar w:fldCharType="separate"/>
            </w:r>
            <w:r w:rsidR="00984F29">
              <w:rPr>
                <w:rFonts w:asciiTheme="minorEastAsia" w:eastAsiaTheme="minorEastAsia" w:hAnsiTheme="minorEastAsia"/>
                <w:noProof/>
                <w:webHidden/>
                <w:sz w:val="28"/>
                <w:szCs w:val="28"/>
              </w:rPr>
              <w:t>7</w:t>
            </w:r>
            <w:r w:rsidR="00BF3EA8" w:rsidRPr="004A4A8A">
              <w:rPr>
                <w:rFonts w:asciiTheme="minorEastAsia" w:eastAsiaTheme="minorEastAsia" w:hAnsiTheme="minorEastAsia"/>
                <w:noProof/>
                <w:webHidden/>
                <w:sz w:val="28"/>
                <w:szCs w:val="28"/>
              </w:rPr>
              <w:fldChar w:fldCharType="end"/>
            </w:r>
          </w:hyperlink>
        </w:p>
        <w:p w:rsidR="00A60792" w:rsidRPr="00472469" w:rsidRDefault="001C2EC9">
          <w:pPr>
            <w:pStyle w:val="2"/>
            <w:rPr>
              <w:rFonts w:asciiTheme="minorEastAsia" w:eastAsiaTheme="minorEastAsia" w:hAnsiTheme="minorEastAsia" w:cstheme="minorBidi"/>
              <w:noProof/>
              <w:sz w:val="28"/>
              <w:szCs w:val="28"/>
            </w:rPr>
          </w:pPr>
          <w:hyperlink w:anchor="_Toc484028139" w:history="1">
            <w:r w:rsidR="004A4A8A" w:rsidRPr="004A4A8A">
              <w:rPr>
                <w:rStyle w:val="ad"/>
                <w:rFonts w:asciiTheme="minorEastAsia" w:eastAsiaTheme="minorEastAsia" w:hAnsiTheme="minorEastAsia" w:hint="eastAsia"/>
                <w:bCs/>
                <w:noProof/>
                <w:color w:val="auto"/>
                <w:kern w:val="0"/>
                <w:sz w:val="28"/>
                <w:szCs w:val="28"/>
              </w:rPr>
              <w:t>第五章</w:t>
            </w:r>
            <w:r w:rsidR="004A4A8A" w:rsidRPr="004A4A8A">
              <w:rPr>
                <w:rStyle w:val="ad"/>
                <w:rFonts w:asciiTheme="minorEastAsia" w:eastAsiaTheme="minorEastAsia" w:hAnsiTheme="minorEastAsia"/>
                <w:bCs/>
                <w:noProof/>
                <w:color w:val="auto"/>
                <w:kern w:val="0"/>
                <w:sz w:val="28"/>
                <w:szCs w:val="28"/>
              </w:rPr>
              <w:t xml:space="preserve">  </w:t>
            </w:r>
            <w:r w:rsidR="004A4A8A" w:rsidRPr="004A4A8A">
              <w:rPr>
                <w:rStyle w:val="ad"/>
                <w:rFonts w:asciiTheme="minorEastAsia" w:eastAsiaTheme="minorEastAsia" w:hAnsiTheme="minorEastAsia" w:hint="eastAsia"/>
                <w:bCs/>
                <w:noProof/>
                <w:color w:val="auto"/>
                <w:kern w:val="0"/>
                <w:sz w:val="28"/>
                <w:szCs w:val="28"/>
              </w:rPr>
              <w:t>专户产品风险评价方法</w:t>
            </w:r>
            <w:r w:rsidR="004A4A8A" w:rsidRPr="004A4A8A">
              <w:rPr>
                <w:rFonts w:asciiTheme="minorEastAsia" w:eastAsiaTheme="minorEastAsia" w:hAnsiTheme="minorEastAsia"/>
                <w:noProof/>
                <w:webHidden/>
                <w:sz w:val="28"/>
                <w:szCs w:val="28"/>
              </w:rPr>
              <w:tab/>
            </w:r>
            <w:r w:rsidR="00BF3EA8" w:rsidRPr="004A4A8A">
              <w:rPr>
                <w:rFonts w:asciiTheme="minorEastAsia" w:eastAsiaTheme="minorEastAsia" w:hAnsiTheme="minorEastAsia"/>
                <w:noProof/>
                <w:webHidden/>
                <w:sz w:val="28"/>
                <w:szCs w:val="28"/>
              </w:rPr>
              <w:fldChar w:fldCharType="begin"/>
            </w:r>
            <w:r w:rsidR="004A4A8A" w:rsidRPr="004A4A8A">
              <w:rPr>
                <w:rFonts w:asciiTheme="minorEastAsia" w:eastAsiaTheme="minorEastAsia" w:hAnsiTheme="minorEastAsia"/>
                <w:noProof/>
                <w:webHidden/>
                <w:sz w:val="28"/>
                <w:szCs w:val="28"/>
              </w:rPr>
              <w:instrText xml:space="preserve"> PAGEREF _Toc484028139 \h </w:instrText>
            </w:r>
            <w:r w:rsidR="00BF3EA8" w:rsidRPr="004A4A8A">
              <w:rPr>
                <w:rFonts w:asciiTheme="minorEastAsia" w:eastAsiaTheme="minorEastAsia" w:hAnsiTheme="minorEastAsia"/>
                <w:noProof/>
                <w:webHidden/>
                <w:sz w:val="28"/>
                <w:szCs w:val="28"/>
              </w:rPr>
            </w:r>
            <w:r w:rsidR="00BF3EA8" w:rsidRPr="004A4A8A">
              <w:rPr>
                <w:rFonts w:asciiTheme="minorEastAsia" w:eastAsiaTheme="minorEastAsia" w:hAnsiTheme="minorEastAsia"/>
                <w:noProof/>
                <w:webHidden/>
                <w:sz w:val="28"/>
                <w:szCs w:val="28"/>
              </w:rPr>
              <w:fldChar w:fldCharType="separate"/>
            </w:r>
            <w:r w:rsidR="00984F29">
              <w:rPr>
                <w:rFonts w:asciiTheme="minorEastAsia" w:eastAsiaTheme="minorEastAsia" w:hAnsiTheme="minorEastAsia"/>
                <w:noProof/>
                <w:webHidden/>
                <w:sz w:val="28"/>
                <w:szCs w:val="28"/>
              </w:rPr>
              <w:t>8</w:t>
            </w:r>
            <w:r w:rsidR="00BF3EA8" w:rsidRPr="004A4A8A">
              <w:rPr>
                <w:rFonts w:asciiTheme="minorEastAsia" w:eastAsiaTheme="minorEastAsia" w:hAnsiTheme="minorEastAsia"/>
                <w:noProof/>
                <w:webHidden/>
                <w:sz w:val="28"/>
                <w:szCs w:val="28"/>
              </w:rPr>
              <w:fldChar w:fldCharType="end"/>
            </w:r>
          </w:hyperlink>
        </w:p>
        <w:p w:rsidR="00A60792" w:rsidRPr="00472469" w:rsidRDefault="001C2EC9">
          <w:pPr>
            <w:pStyle w:val="2"/>
            <w:rPr>
              <w:rFonts w:asciiTheme="minorEastAsia" w:eastAsiaTheme="minorEastAsia" w:hAnsiTheme="minorEastAsia" w:cstheme="minorBidi"/>
              <w:noProof/>
              <w:sz w:val="28"/>
              <w:szCs w:val="28"/>
            </w:rPr>
          </w:pPr>
          <w:hyperlink w:anchor="_Toc484028140" w:history="1">
            <w:r w:rsidR="004A4A8A" w:rsidRPr="004A4A8A">
              <w:rPr>
                <w:rStyle w:val="ad"/>
                <w:rFonts w:asciiTheme="minorEastAsia" w:eastAsiaTheme="minorEastAsia" w:hAnsiTheme="minorEastAsia" w:hint="eastAsia"/>
                <w:bCs/>
                <w:noProof/>
                <w:color w:val="auto"/>
                <w:kern w:val="0"/>
                <w:sz w:val="28"/>
                <w:szCs w:val="28"/>
              </w:rPr>
              <w:t>第六章</w:t>
            </w:r>
            <w:r w:rsidR="004A4A8A" w:rsidRPr="004A4A8A">
              <w:rPr>
                <w:rStyle w:val="ad"/>
                <w:rFonts w:asciiTheme="minorEastAsia" w:eastAsiaTheme="minorEastAsia" w:hAnsiTheme="minorEastAsia"/>
                <w:bCs/>
                <w:noProof/>
                <w:color w:val="auto"/>
                <w:kern w:val="0"/>
                <w:sz w:val="28"/>
                <w:szCs w:val="28"/>
              </w:rPr>
              <w:t xml:space="preserve">  </w:t>
            </w:r>
            <w:r w:rsidR="004A4A8A" w:rsidRPr="004A4A8A">
              <w:rPr>
                <w:rStyle w:val="ad"/>
                <w:rFonts w:asciiTheme="minorEastAsia" w:eastAsiaTheme="minorEastAsia" w:hAnsiTheme="minorEastAsia" w:hint="eastAsia"/>
                <w:bCs/>
                <w:noProof/>
                <w:color w:val="auto"/>
                <w:kern w:val="0"/>
                <w:sz w:val="28"/>
                <w:szCs w:val="28"/>
              </w:rPr>
              <w:t>产品风险评价的责任人和应用</w:t>
            </w:r>
            <w:r w:rsidR="004A4A8A" w:rsidRPr="004A4A8A">
              <w:rPr>
                <w:rFonts w:asciiTheme="minorEastAsia" w:eastAsiaTheme="minorEastAsia" w:hAnsiTheme="minorEastAsia"/>
                <w:noProof/>
                <w:webHidden/>
                <w:sz w:val="28"/>
                <w:szCs w:val="28"/>
              </w:rPr>
              <w:tab/>
            </w:r>
            <w:r w:rsidR="00BF3EA8" w:rsidRPr="004A4A8A">
              <w:rPr>
                <w:rFonts w:asciiTheme="minorEastAsia" w:eastAsiaTheme="minorEastAsia" w:hAnsiTheme="minorEastAsia"/>
                <w:noProof/>
                <w:webHidden/>
                <w:sz w:val="28"/>
                <w:szCs w:val="28"/>
              </w:rPr>
              <w:fldChar w:fldCharType="begin"/>
            </w:r>
            <w:r w:rsidR="004A4A8A" w:rsidRPr="004A4A8A">
              <w:rPr>
                <w:rFonts w:asciiTheme="minorEastAsia" w:eastAsiaTheme="minorEastAsia" w:hAnsiTheme="minorEastAsia"/>
                <w:noProof/>
                <w:webHidden/>
                <w:sz w:val="28"/>
                <w:szCs w:val="28"/>
              </w:rPr>
              <w:instrText xml:space="preserve"> PAGEREF _Toc484028140 \h </w:instrText>
            </w:r>
            <w:r w:rsidR="00BF3EA8" w:rsidRPr="004A4A8A">
              <w:rPr>
                <w:rFonts w:asciiTheme="minorEastAsia" w:eastAsiaTheme="minorEastAsia" w:hAnsiTheme="minorEastAsia"/>
                <w:noProof/>
                <w:webHidden/>
                <w:sz w:val="28"/>
                <w:szCs w:val="28"/>
              </w:rPr>
            </w:r>
            <w:r w:rsidR="00BF3EA8" w:rsidRPr="004A4A8A">
              <w:rPr>
                <w:rFonts w:asciiTheme="minorEastAsia" w:eastAsiaTheme="minorEastAsia" w:hAnsiTheme="minorEastAsia"/>
                <w:noProof/>
                <w:webHidden/>
                <w:sz w:val="28"/>
                <w:szCs w:val="28"/>
              </w:rPr>
              <w:fldChar w:fldCharType="separate"/>
            </w:r>
            <w:r w:rsidR="00984F29">
              <w:rPr>
                <w:rFonts w:asciiTheme="minorEastAsia" w:eastAsiaTheme="minorEastAsia" w:hAnsiTheme="minorEastAsia"/>
                <w:noProof/>
                <w:webHidden/>
                <w:sz w:val="28"/>
                <w:szCs w:val="28"/>
              </w:rPr>
              <w:t>11</w:t>
            </w:r>
            <w:r w:rsidR="00BF3EA8" w:rsidRPr="004A4A8A">
              <w:rPr>
                <w:rFonts w:asciiTheme="minorEastAsia" w:eastAsiaTheme="minorEastAsia" w:hAnsiTheme="minorEastAsia"/>
                <w:noProof/>
                <w:webHidden/>
                <w:sz w:val="28"/>
                <w:szCs w:val="28"/>
              </w:rPr>
              <w:fldChar w:fldCharType="end"/>
            </w:r>
          </w:hyperlink>
        </w:p>
        <w:p w:rsidR="00720366" w:rsidRPr="007B14D9" w:rsidRDefault="00BF3EA8" w:rsidP="002454D1">
          <w:pPr>
            <w:spacing w:beforeLines="100" w:before="312" w:beforeAutospacing="1" w:afterLines="100" w:after="312" w:afterAutospacing="1" w:line="360" w:lineRule="auto"/>
            <w:rPr>
              <w:rFonts w:asciiTheme="minorEastAsia" w:eastAsiaTheme="minorEastAsia" w:hAnsiTheme="minorEastAsia"/>
              <w:sz w:val="24"/>
            </w:rPr>
          </w:pPr>
          <w:r w:rsidRPr="007B14D9">
            <w:rPr>
              <w:rFonts w:asciiTheme="majorEastAsia" w:eastAsiaTheme="majorEastAsia" w:hAnsiTheme="majorEastAsia"/>
              <w:sz w:val="24"/>
            </w:rPr>
            <w:fldChar w:fldCharType="end"/>
          </w:r>
        </w:p>
      </w:sdtContent>
    </w:sdt>
    <w:p w:rsidR="00720366" w:rsidRPr="007B14D9" w:rsidRDefault="00720366" w:rsidP="00720366">
      <w:pPr>
        <w:tabs>
          <w:tab w:val="left" w:pos="360"/>
        </w:tabs>
        <w:spacing w:line="360" w:lineRule="auto"/>
        <w:rPr>
          <w:rFonts w:ascii="宋体" w:hAnsi="宋体"/>
          <w:b/>
          <w:sz w:val="24"/>
        </w:rPr>
      </w:pPr>
    </w:p>
    <w:p w:rsidR="00720366" w:rsidRPr="007B14D9" w:rsidRDefault="00720366" w:rsidP="00720366">
      <w:pPr>
        <w:tabs>
          <w:tab w:val="left" w:pos="360"/>
        </w:tabs>
        <w:spacing w:line="360" w:lineRule="auto"/>
        <w:rPr>
          <w:rFonts w:ascii="宋体" w:hAnsi="宋体"/>
          <w:b/>
          <w:sz w:val="24"/>
        </w:rPr>
      </w:pPr>
    </w:p>
    <w:p w:rsidR="00720366" w:rsidRPr="007B14D9" w:rsidRDefault="00720366" w:rsidP="00720366">
      <w:pPr>
        <w:widowControl/>
        <w:jc w:val="left"/>
        <w:rPr>
          <w:rFonts w:ascii="宋体" w:hAnsi="宋体"/>
          <w:b/>
          <w:sz w:val="24"/>
        </w:rPr>
      </w:pPr>
      <w:r w:rsidRPr="007B14D9">
        <w:rPr>
          <w:rFonts w:ascii="宋体" w:hAnsi="宋体"/>
          <w:b/>
          <w:sz w:val="24"/>
        </w:rPr>
        <w:br w:type="page"/>
      </w:r>
    </w:p>
    <w:p w:rsidR="00720366" w:rsidRPr="007B14D9" w:rsidRDefault="00720366" w:rsidP="002454D1">
      <w:pPr>
        <w:keepNext/>
        <w:keepLines/>
        <w:spacing w:beforeLines="100" w:before="312" w:afterLines="100" w:after="312" w:line="360" w:lineRule="auto"/>
        <w:jc w:val="center"/>
        <w:outlineLvl w:val="1"/>
        <w:rPr>
          <w:rFonts w:ascii="黑体" w:eastAsia="黑体" w:hAnsi="宋体"/>
          <w:bCs/>
          <w:kern w:val="0"/>
          <w:sz w:val="30"/>
          <w:szCs w:val="28"/>
        </w:rPr>
      </w:pPr>
      <w:bookmarkStart w:id="8" w:name="_Toc300838722"/>
      <w:bookmarkStart w:id="9" w:name="_Toc484028135"/>
      <w:r w:rsidRPr="007B14D9">
        <w:rPr>
          <w:rFonts w:ascii="黑体" w:eastAsia="黑体" w:hAnsi="宋体" w:hint="eastAsia"/>
          <w:bCs/>
          <w:kern w:val="0"/>
          <w:sz w:val="30"/>
          <w:szCs w:val="28"/>
        </w:rPr>
        <w:lastRenderedPageBreak/>
        <w:t>第一章  总  则</w:t>
      </w:r>
      <w:bookmarkEnd w:id="8"/>
      <w:bookmarkEnd w:id="9"/>
    </w:p>
    <w:p w:rsidR="00720366" w:rsidRPr="007B14D9" w:rsidRDefault="00720366" w:rsidP="00720366">
      <w:pPr>
        <w:spacing w:line="360" w:lineRule="auto"/>
        <w:ind w:firstLineChars="200" w:firstLine="482"/>
        <w:rPr>
          <w:rFonts w:ascii="宋体" w:hAnsi="宋体"/>
          <w:sz w:val="24"/>
          <w:szCs w:val="22"/>
        </w:rPr>
      </w:pPr>
      <w:r w:rsidRPr="007B14D9">
        <w:rPr>
          <w:rFonts w:ascii="宋体" w:hAnsi="宋体" w:hint="eastAsia"/>
          <w:b/>
          <w:sz w:val="24"/>
          <w:szCs w:val="22"/>
        </w:rPr>
        <w:t xml:space="preserve">第一条 </w:t>
      </w:r>
      <w:r w:rsidRPr="007B14D9">
        <w:rPr>
          <w:rFonts w:ascii="宋体" w:hAnsi="宋体" w:hint="eastAsia"/>
          <w:sz w:val="24"/>
          <w:szCs w:val="22"/>
        </w:rPr>
        <w:t>为进一步规范本公司公开募集证券投资基金（以下简称“公募基金”）以及特定客户资产管理产品（以下简称“专户产品”）的销售行为，确保公司产品销售的适用性，依据《证券投资基金法》、《基金管理公司特定客户资产管理业务试点办法》、《证券投资基金销售管理办法》、《证券期货投资者适当性管理办法》</w:t>
      </w:r>
      <w:r w:rsidR="008E7EDF">
        <w:rPr>
          <w:rFonts w:ascii="宋体" w:hAnsi="宋体" w:hint="eastAsia"/>
          <w:sz w:val="24"/>
          <w:szCs w:val="22"/>
        </w:rPr>
        <w:t>、《基金募集机构投资者适当性管理实施指引（试行）》</w:t>
      </w:r>
      <w:r w:rsidR="00AB1586">
        <w:rPr>
          <w:rFonts w:ascii="宋体" w:hAnsi="宋体" w:hint="eastAsia"/>
          <w:sz w:val="24"/>
          <w:szCs w:val="22"/>
        </w:rPr>
        <w:t>、《关于规范金融机构资产管理业务的指导意见》</w:t>
      </w:r>
      <w:r w:rsidRPr="007B14D9">
        <w:rPr>
          <w:rFonts w:ascii="宋体" w:hAnsi="宋体" w:hint="eastAsia"/>
          <w:sz w:val="24"/>
          <w:szCs w:val="22"/>
        </w:rPr>
        <w:t>及其他法律法规制定本指引。</w:t>
      </w:r>
    </w:p>
    <w:p w:rsidR="00720366" w:rsidRPr="007B14D9" w:rsidRDefault="00720366" w:rsidP="00720366">
      <w:pPr>
        <w:spacing w:line="360" w:lineRule="auto"/>
        <w:ind w:firstLineChars="200" w:firstLine="482"/>
        <w:rPr>
          <w:rFonts w:ascii="宋体" w:hAnsi="宋体"/>
          <w:sz w:val="24"/>
          <w:szCs w:val="22"/>
        </w:rPr>
      </w:pPr>
      <w:r w:rsidRPr="007B14D9">
        <w:rPr>
          <w:rFonts w:ascii="宋体" w:hAnsi="宋体" w:hint="eastAsia"/>
          <w:b/>
          <w:sz w:val="24"/>
          <w:szCs w:val="22"/>
        </w:rPr>
        <w:t xml:space="preserve">第二条 </w:t>
      </w:r>
      <w:r w:rsidRPr="007B14D9">
        <w:rPr>
          <w:rFonts w:ascii="宋体" w:hAnsi="宋体" w:hint="eastAsia"/>
          <w:sz w:val="24"/>
          <w:szCs w:val="22"/>
        </w:rPr>
        <w:t>销售人员在进行基金销售的过程中，应注重根据基金投资人的风险承受能力销售不同风险等级的产品，把合适的产品卖给合适的基金投资人。</w:t>
      </w:r>
    </w:p>
    <w:p w:rsidR="00720366" w:rsidRPr="007B14D9" w:rsidRDefault="00720366" w:rsidP="002454D1">
      <w:pPr>
        <w:keepNext/>
        <w:keepLines/>
        <w:spacing w:beforeLines="100" w:before="312" w:afterLines="100" w:after="312" w:line="360" w:lineRule="auto"/>
        <w:jc w:val="center"/>
        <w:outlineLvl w:val="1"/>
        <w:rPr>
          <w:rFonts w:ascii="黑体" w:eastAsia="黑体" w:hAnsi="宋体"/>
          <w:bCs/>
          <w:kern w:val="0"/>
          <w:sz w:val="30"/>
          <w:szCs w:val="28"/>
        </w:rPr>
      </w:pPr>
      <w:bookmarkStart w:id="10" w:name="_Toc144263971"/>
      <w:bookmarkStart w:id="11" w:name="_Toc300838723"/>
      <w:bookmarkStart w:id="12" w:name="_Toc484028136"/>
      <w:r w:rsidRPr="007B14D9">
        <w:rPr>
          <w:rFonts w:ascii="黑体" w:eastAsia="黑体" w:hAnsi="宋体" w:hint="eastAsia"/>
          <w:bCs/>
          <w:kern w:val="0"/>
          <w:sz w:val="30"/>
          <w:szCs w:val="28"/>
        </w:rPr>
        <w:t xml:space="preserve">第二章  </w:t>
      </w:r>
      <w:bookmarkEnd w:id="10"/>
      <w:bookmarkEnd w:id="11"/>
      <w:r w:rsidRPr="007B14D9">
        <w:rPr>
          <w:rFonts w:ascii="黑体" w:eastAsia="黑体" w:hAnsi="宋体" w:hint="eastAsia"/>
          <w:bCs/>
          <w:kern w:val="0"/>
          <w:sz w:val="30"/>
          <w:szCs w:val="28"/>
        </w:rPr>
        <w:t>公募基金产品风险评价内容及风险分级</w:t>
      </w:r>
      <w:bookmarkEnd w:id="12"/>
    </w:p>
    <w:p w:rsidR="00E62B16" w:rsidRDefault="00720366" w:rsidP="002454D1">
      <w:pPr>
        <w:spacing w:beforeLines="100" w:before="312" w:line="360" w:lineRule="auto"/>
        <w:ind w:firstLineChars="196" w:firstLine="472"/>
        <w:rPr>
          <w:sz w:val="24"/>
        </w:rPr>
      </w:pPr>
      <w:r w:rsidRPr="007B14D9">
        <w:rPr>
          <w:rFonts w:ascii="宋体" w:hAnsi="宋体" w:hint="eastAsia"/>
          <w:b/>
          <w:sz w:val="24"/>
          <w:szCs w:val="22"/>
        </w:rPr>
        <w:t>第三条</w:t>
      </w:r>
      <w:r w:rsidRPr="007B14D9">
        <w:rPr>
          <w:rFonts w:hint="eastAsia"/>
          <w:sz w:val="24"/>
        </w:rPr>
        <w:t xml:space="preserve"> </w:t>
      </w:r>
      <w:r w:rsidRPr="007B14D9">
        <w:rPr>
          <w:rFonts w:hint="eastAsia"/>
          <w:sz w:val="24"/>
        </w:rPr>
        <w:t>公募基金产品风险评价方法采取定量分析与定性分析相结合的方法，并考虑其他特殊因素</w:t>
      </w:r>
      <w:r w:rsidR="00603A3B" w:rsidRPr="007B14D9">
        <w:rPr>
          <w:rFonts w:hint="eastAsia"/>
          <w:sz w:val="24"/>
        </w:rPr>
        <w:t>的附加影响</w:t>
      </w:r>
      <w:r w:rsidRPr="007B14D9">
        <w:rPr>
          <w:rFonts w:hint="eastAsia"/>
          <w:sz w:val="24"/>
        </w:rPr>
        <w:t>，对基金产品承担的风险进行</w:t>
      </w:r>
      <w:r w:rsidR="00603A3B" w:rsidRPr="007B14D9">
        <w:rPr>
          <w:rFonts w:hint="eastAsia"/>
          <w:sz w:val="24"/>
        </w:rPr>
        <w:t>综合评估与</w:t>
      </w:r>
      <w:r w:rsidRPr="007B14D9">
        <w:rPr>
          <w:rFonts w:hint="eastAsia"/>
          <w:sz w:val="24"/>
        </w:rPr>
        <w:t>分析。风险评价的内容如下：</w:t>
      </w:r>
    </w:p>
    <w:p w:rsidR="00720366" w:rsidRPr="008E7EDF" w:rsidRDefault="00720366" w:rsidP="008E7EDF">
      <w:pPr>
        <w:spacing w:line="360" w:lineRule="auto"/>
        <w:ind w:firstLineChars="200" w:firstLine="480"/>
        <w:rPr>
          <w:rFonts w:asciiTheme="minorEastAsia" w:eastAsiaTheme="minorEastAsia" w:hAnsiTheme="minorEastAsia"/>
          <w:sz w:val="24"/>
        </w:rPr>
      </w:pPr>
      <w:r w:rsidRPr="008E7EDF">
        <w:rPr>
          <w:rFonts w:asciiTheme="minorEastAsia" w:eastAsiaTheme="minorEastAsia" w:hAnsiTheme="minorEastAsia" w:hint="eastAsia"/>
          <w:sz w:val="24"/>
        </w:rPr>
        <w:t>1．定性分析</w:t>
      </w:r>
    </w:p>
    <w:p w:rsidR="00603A3B" w:rsidRPr="007B14D9" w:rsidRDefault="00603A3B" w:rsidP="00720366">
      <w:pPr>
        <w:spacing w:line="360" w:lineRule="auto"/>
        <w:ind w:firstLineChars="200" w:firstLine="480"/>
        <w:rPr>
          <w:sz w:val="24"/>
        </w:rPr>
      </w:pPr>
      <w:r w:rsidRPr="007B14D9">
        <w:rPr>
          <w:rFonts w:hint="eastAsia"/>
          <w:sz w:val="24"/>
        </w:rPr>
        <w:t>定性分析的因素，主要考虑以下六个方面：</w:t>
      </w:r>
    </w:p>
    <w:p w:rsidR="00720366" w:rsidRPr="008E7EDF" w:rsidRDefault="00720366" w:rsidP="00614D2C">
      <w:pPr>
        <w:spacing w:line="360" w:lineRule="auto"/>
        <w:ind w:firstLineChars="200" w:firstLine="480"/>
        <w:rPr>
          <w:sz w:val="24"/>
        </w:rPr>
      </w:pPr>
      <w:r w:rsidRPr="008E7EDF">
        <w:rPr>
          <w:rFonts w:hint="eastAsia"/>
          <w:sz w:val="24"/>
        </w:rPr>
        <w:t>（</w:t>
      </w:r>
      <w:r w:rsidRPr="008E7EDF">
        <w:rPr>
          <w:rFonts w:hint="eastAsia"/>
          <w:sz w:val="24"/>
        </w:rPr>
        <w:t>1</w:t>
      </w:r>
      <w:r w:rsidRPr="008E7EDF">
        <w:rPr>
          <w:rFonts w:hint="eastAsia"/>
          <w:sz w:val="24"/>
        </w:rPr>
        <w:t>）基金的投资方向和投资范围</w:t>
      </w:r>
    </w:p>
    <w:p w:rsidR="00720366" w:rsidRPr="007B14D9" w:rsidRDefault="00720366" w:rsidP="00720366">
      <w:pPr>
        <w:spacing w:line="360" w:lineRule="auto"/>
        <w:ind w:firstLineChars="200" w:firstLine="480"/>
        <w:rPr>
          <w:sz w:val="24"/>
        </w:rPr>
      </w:pPr>
      <w:r w:rsidRPr="007B14D9">
        <w:rPr>
          <w:rFonts w:hint="eastAsia"/>
          <w:sz w:val="24"/>
        </w:rPr>
        <w:t>根据公募基金的投资方向、投资范围和投资比例，将公募基金分为商品型基金、股票型基金、混合型基金、债券型基金、避险策略型基金、货币</w:t>
      </w:r>
      <w:r w:rsidR="00984F29">
        <w:rPr>
          <w:rFonts w:hint="eastAsia"/>
          <w:sz w:val="24"/>
        </w:rPr>
        <w:t>市场</w:t>
      </w:r>
      <w:r w:rsidRPr="007B14D9">
        <w:rPr>
          <w:rFonts w:hint="eastAsia"/>
          <w:sz w:val="24"/>
        </w:rPr>
        <w:t>基金、</w:t>
      </w:r>
      <w:r w:rsidR="00984F29" w:rsidRPr="007B14D9">
        <w:rPr>
          <w:rFonts w:hint="eastAsia"/>
          <w:sz w:val="24"/>
        </w:rPr>
        <w:t>股票型</w:t>
      </w:r>
      <w:r w:rsidR="00984F29" w:rsidRPr="007B14D9">
        <w:rPr>
          <w:rFonts w:hint="eastAsia"/>
          <w:sz w:val="24"/>
        </w:rPr>
        <w:t>FOF</w:t>
      </w:r>
      <w:r w:rsidR="00984F29" w:rsidRPr="007B14D9">
        <w:rPr>
          <w:rFonts w:hint="eastAsia"/>
          <w:sz w:val="24"/>
        </w:rPr>
        <w:t>、混合型</w:t>
      </w:r>
      <w:r w:rsidR="00984F29" w:rsidRPr="007B14D9">
        <w:rPr>
          <w:rFonts w:hint="eastAsia"/>
          <w:sz w:val="24"/>
        </w:rPr>
        <w:t>FOF</w:t>
      </w:r>
      <w:r w:rsidR="00984F29" w:rsidRPr="007B14D9">
        <w:rPr>
          <w:rFonts w:hint="eastAsia"/>
          <w:sz w:val="24"/>
        </w:rPr>
        <w:t>、债券型</w:t>
      </w:r>
      <w:r w:rsidR="00984F29" w:rsidRPr="007B14D9">
        <w:rPr>
          <w:rFonts w:hint="eastAsia"/>
          <w:sz w:val="24"/>
        </w:rPr>
        <w:t>FOF</w:t>
      </w:r>
      <w:r w:rsidR="00984F29" w:rsidRPr="007B14D9">
        <w:rPr>
          <w:rFonts w:hint="eastAsia"/>
          <w:sz w:val="24"/>
        </w:rPr>
        <w:t>、</w:t>
      </w:r>
      <w:r w:rsidRPr="007B14D9">
        <w:rPr>
          <w:rFonts w:hint="eastAsia"/>
          <w:sz w:val="24"/>
        </w:rPr>
        <w:t>货币型</w:t>
      </w:r>
      <w:r w:rsidRPr="007B14D9">
        <w:rPr>
          <w:rFonts w:hint="eastAsia"/>
          <w:sz w:val="24"/>
        </w:rPr>
        <w:t>FOF</w:t>
      </w:r>
      <w:r w:rsidRPr="007B14D9">
        <w:rPr>
          <w:rFonts w:hint="eastAsia"/>
          <w:sz w:val="24"/>
        </w:rPr>
        <w:t>、其他类型</w:t>
      </w:r>
      <w:r w:rsidRPr="007B14D9">
        <w:rPr>
          <w:rFonts w:hint="eastAsia"/>
          <w:sz w:val="24"/>
        </w:rPr>
        <w:t>FOF</w:t>
      </w:r>
      <w:r w:rsidRPr="007B14D9">
        <w:rPr>
          <w:rFonts w:hint="eastAsia"/>
          <w:sz w:val="24"/>
        </w:rPr>
        <w:t>、</w:t>
      </w:r>
      <w:r w:rsidR="008E7EDF" w:rsidRPr="007B14D9">
        <w:rPr>
          <w:rFonts w:hint="eastAsia"/>
          <w:sz w:val="24"/>
        </w:rPr>
        <w:t>QDII</w:t>
      </w:r>
      <w:r w:rsidR="008E7EDF" w:rsidRPr="007B14D9">
        <w:rPr>
          <w:rFonts w:hint="eastAsia"/>
          <w:sz w:val="24"/>
        </w:rPr>
        <w:t>基金</w:t>
      </w:r>
      <w:r w:rsidRPr="007B14D9">
        <w:rPr>
          <w:rFonts w:hint="eastAsia"/>
          <w:sz w:val="24"/>
        </w:rPr>
        <w:t>等基金类别。</w:t>
      </w:r>
    </w:p>
    <w:p w:rsidR="00720366" w:rsidRPr="007B14D9" w:rsidRDefault="00720366" w:rsidP="00720366">
      <w:pPr>
        <w:spacing w:line="360" w:lineRule="auto"/>
        <w:ind w:firstLineChars="200" w:firstLine="480"/>
        <w:rPr>
          <w:sz w:val="24"/>
        </w:rPr>
      </w:pPr>
      <w:r w:rsidRPr="007B14D9">
        <w:rPr>
          <w:rFonts w:hint="eastAsia"/>
          <w:sz w:val="24"/>
        </w:rPr>
        <w:t>基金类别分类采用证监会公募基金分类标准。</w:t>
      </w:r>
    </w:p>
    <w:p w:rsidR="00720366" w:rsidRPr="008E7EDF" w:rsidRDefault="00720366" w:rsidP="00614D2C">
      <w:pPr>
        <w:spacing w:line="360" w:lineRule="auto"/>
        <w:ind w:firstLineChars="200" w:firstLine="480"/>
        <w:rPr>
          <w:sz w:val="24"/>
        </w:rPr>
      </w:pPr>
      <w:r w:rsidRPr="008E7EDF">
        <w:rPr>
          <w:rFonts w:hint="eastAsia"/>
          <w:sz w:val="24"/>
        </w:rPr>
        <w:t>（</w:t>
      </w:r>
      <w:r w:rsidRPr="008E7EDF">
        <w:rPr>
          <w:rFonts w:hint="eastAsia"/>
          <w:sz w:val="24"/>
        </w:rPr>
        <w:t>2</w:t>
      </w:r>
      <w:r w:rsidRPr="008E7EDF">
        <w:rPr>
          <w:rFonts w:hint="eastAsia"/>
          <w:sz w:val="24"/>
        </w:rPr>
        <w:t>）基金的流动性、到期时限</w:t>
      </w:r>
    </w:p>
    <w:p w:rsidR="00720366" w:rsidRPr="008E7EDF" w:rsidRDefault="00720366" w:rsidP="00614D2C">
      <w:pPr>
        <w:spacing w:line="360" w:lineRule="auto"/>
        <w:ind w:firstLineChars="200" w:firstLine="480"/>
        <w:rPr>
          <w:sz w:val="24"/>
        </w:rPr>
      </w:pPr>
      <w:r w:rsidRPr="008E7EDF">
        <w:rPr>
          <w:rFonts w:hint="eastAsia"/>
          <w:sz w:val="24"/>
        </w:rPr>
        <w:t>（</w:t>
      </w:r>
      <w:r w:rsidRPr="008E7EDF">
        <w:rPr>
          <w:rFonts w:hint="eastAsia"/>
          <w:sz w:val="24"/>
        </w:rPr>
        <w:t>3</w:t>
      </w:r>
      <w:r w:rsidRPr="008E7EDF">
        <w:rPr>
          <w:rFonts w:hint="eastAsia"/>
          <w:sz w:val="24"/>
        </w:rPr>
        <w:t>）基金的杠杆情况</w:t>
      </w:r>
    </w:p>
    <w:p w:rsidR="00720366" w:rsidRPr="008E7EDF" w:rsidRDefault="00720366" w:rsidP="00614D2C">
      <w:pPr>
        <w:spacing w:line="360" w:lineRule="auto"/>
        <w:ind w:firstLineChars="200" w:firstLine="480"/>
        <w:rPr>
          <w:sz w:val="24"/>
        </w:rPr>
      </w:pPr>
      <w:r w:rsidRPr="008E7EDF">
        <w:rPr>
          <w:rFonts w:hint="eastAsia"/>
          <w:sz w:val="24"/>
        </w:rPr>
        <w:t>（</w:t>
      </w:r>
      <w:r w:rsidRPr="008E7EDF">
        <w:rPr>
          <w:rFonts w:hint="eastAsia"/>
          <w:sz w:val="24"/>
        </w:rPr>
        <w:t>4</w:t>
      </w:r>
      <w:r w:rsidRPr="008E7EDF">
        <w:rPr>
          <w:rFonts w:hint="eastAsia"/>
          <w:sz w:val="24"/>
        </w:rPr>
        <w:t>）基金的结构复杂性</w:t>
      </w:r>
    </w:p>
    <w:p w:rsidR="00720366" w:rsidRPr="007B14D9" w:rsidRDefault="00720366" w:rsidP="00614D2C">
      <w:pPr>
        <w:spacing w:line="360" w:lineRule="auto"/>
        <w:ind w:firstLineChars="200" w:firstLine="480"/>
        <w:rPr>
          <w:b/>
          <w:sz w:val="24"/>
        </w:rPr>
      </w:pPr>
      <w:r w:rsidRPr="00614D2C">
        <w:rPr>
          <w:rFonts w:hint="eastAsia"/>
          <w:sz w:val="24"/>
        </w:rPr>
        <w:t>（</w:t>
      </w:r>
      <w:r w:rsidRPr="00614D2C">
        <w:rPr>
          <w:rFonts w:hint="eastAsia"/>
          <w:sz w:val="24"/>
        </w:rPr>
        <w:t>5</w:t>
      </w:r>
      <w:r w:rsidRPr="00614D2C">
        <w:rPr>
          <w:rFonts w:hint="eastAsia"/>
          <w:sz w:val="24"/>
        </w:rPr>
        <w:t>）投资单位产品或者相关服务的最低金额</w:t>
      </w:r>
      <w:r w:rsidR="00E45477" w:rsidRPr="007B14D9">
        <w:rPr>
          <w:rFonts w:hint="eastAsia"/>
          <w:sz w:val="24"/>
        </w:rPr>
        <w:t>（风险收益特征类似的产品分类除外）</w:t>
      </w:r>
    </w:p>
    <w:p w:rsidR="00720366" w:rsidRPr="008E7EDF" w:rsidRDefault="00720366" w:rsidP="00614D2C">
      <w:pPr>
        <w:spacing w:line="360" w:lineRule="auto"/>
        <w:ind w:firstLineChars="200" w:firstLine="480"/>
        <w:rPr>
          <w:sz w:val="24"/>
        </w:rPr>
      </w:pPr>
      <w:r w:rsidRPr="008E7EDF">
        <w:rPr>
          <w:rFonts w:hint="eastAsia"/>
          <w:sz w:val="24"/>
        </w:rPr>
        <w:t>（</w:t>
      </w:r>
      <w:r w:rsidRPr="008E7EDF">
        <w:rPr>
          <w:rFonts w:hint="eastAsia"/>
          <w:sz w:val="24"/>
        </w:rPr>
        <w:t>6</w:t>
      </w:r>
      <w:r w:rsidRPr="008E7EDF">
        <w:rPr>
          <w:rFonts w:hint="eastAsia"/>
          <w:sz w:val="24"/>
        </w:rPr>
        <w:t>）募集方式</w:t>
      </w:r>
    </w:p>
    <w:p w:rsidR="00603A3B" w:rsidRPr="008E7EDF" w:rsidRDefault="00720366" w:rsidP="008E7EDF">
      <w:pPr>
        <w:spacing w:line="360" w:lineRule="auto"/>
        <w:ind w:firstLineChars="200" w:firstLine="480"/>
        <w:rPr>
          <w:rFonts w:asciiTheme="minorEastAsia" w:eastAsiaTheme="minorEastAsia" w:hAnsiTheme="minorEastAsia"/>
          <w:sz w:val="24"/>
        </w:rPr>
      </w:pPr>
      <w:r w:rsidRPr="008E7EDF">
        <w:rPr>
          <w:rFonts w:asciiTheme="minorEastAsia" w:eastAsiaTheme="minorEastAsia" w:hAnsiTheme="minorEastAsia" w:hint="eastAsia"/>
          <w:sz w:val="24"/>
        </w:rPr>
        <w:lastRenderedPageBreak/>
        <w:t>2．定量分析</w:t>
      </w:r>
    </w:p>
    <w:p w:rsidR="00720366" w:rsidRPr="007B14D9" w:rsidRDefault="00720366" w:rsidP="00603A3B">
      <w:pPr>
        <w:spacing w:line="360" w:lineRule="auto"/>
        <w:ind w:firstLineChars="250" w:firstLine="600"/>
        <w:rPr>
          <w:sz w:val="24"/>
        </w:rPr>
      </w:pPr>
      <w:r w:rsidRPr="007B14D9">
        <w:rPr>
          <w:rFonts w:hint="eastAsia"/>
          <w:sz w:val="24"/>
        </w:rPr>
        <w:t>在定性分析的基础上，对公募基金产品的下列五个方面进行评价：</w:t>
      </w:r>
    </w:p>
    <w:p w:rsidR="00720366" w:rsidRPr="007B14D9" w:rsidRDefault="00720366" w:rsidP="00720366">
      <w:pPr>
        <w:spacing w:line="360" w:lineRule="auto"/>
        <w:ind w:firstLineChars="200" w:firstLine="480"/>
        <w:rPr>
          <w:sz w:val="24"/>
        </w:rPr>
      </w:pPr>
      <w:r w:rsidRPr="007B14D9">
        <w:rPr>
          <w:rFonts w:hint="eastAsia"/>
          <w:sz w:val="24"/>
        </w:rPr>
        <w:t>（</w:t>
      </w:r>
      <w:r w:rsidRPr="007B14D9">
        <w:rPr>
          <w:rFonts w:hint="eastAsia"/>
          <w:sz w:val="24"/>
        </w:rPr>
        <w:t>1</w:t>
      </w:r>
      <w:r w:rsidRPr="007B14D9">
        <w:rPr>
          <w:rFonts w:hint="eastAsia"/>
          <w:sz w:val="24"/>
        </w:rPr>
        <w:t>）基金成立以来有无违规行为发生；</w:t>
      </w:r>
    </w:p>
    <w:p w:rsidR="00720366" w:rsidRPr="007B14D9" w:rsidRDefault="00720366" w:rsidP="00720366">
      <w:pPr>
        <w:spacing w:line="360" w:lineRule="auto"/>
        <w:ind w:firstLineChars="200" w:firstLine="480"/>
        <w:rPr>
          <w:sz w:val="24"/>
        </w:rPr>
      </w:pPr>
      <w:r w:rsidRPr="007B14D9">
        <w:rPr>
          <w:rFonts w:hint="eastAsia"/>
          <w:sz w:val="24"/>
        </w:rPr>
        <w:t>（</w:t>
      </w:r>
      <w:r w:rsidRPr="007B14D9">
        <w:rPr>
          <w:rFonts w:hint="eastAsia"/>
          <w:sz w:val="24"/>
        </w:rPr>
        <w:t>2</w:t>
      </w:r>
      <w:r w:rsidRPr="007B14D9">
        <w:rPr>
          <w:rFonts w:hint="eastAsia"/>
          <w:sz w:val="24"/>
        </w:rPr>
        <w:t>）基金的历史规模；</w:t>
      </w:r>
    </w:p>
    <w:p w:rsidR="00720366" w:rsidRPr="007B14D9" w:rsidRDefault="00720366" w:rsidP="00720366">
      <w:pPr>
        <w:spacing w:line="360" w:lineRule="auto"/>
        <w:ind w:firstLineChars="200" w:firstLine="480"/>
        <w:rPr>
          <w:sz w:val="24"/>
        </w:rPr>
      </w:pPr>
      <w:r w:rsidRPr="007B14D9">
        <w:rPr>
          <w:rFonts w:hint="eastAsia"/>
          <w:sz w:val="24"/>
        </w:rPr>
        <w:t>（</w:t>
      </w:r>
      <w:r w:rsidRPr="007B14D9">
        <w:rPr>
          <w:rFonts w:hint="eastAsia"/>
          <w:sz w:val="24"/>
        </w:rPr>
        <w:t>3</w:t>
      </w:r>
      <w:r w:rsidRPr="007B14D9">
        <w:rPr>
          <w:rFonts w:hint="eastAsia"/>
          <w:sz w:val="24"/>
        </w:rPr>
        <w:t>）基金的过往业绩；</w:t>
      </w:r>
    </w:p>
    <w:p w:rsidR="00720366" w:rsidRPr="007B14D9" w:rsidRDefault="00720366" w:rsidP="00720366">
      <w:pPr>
        <w:spacing w:line="360" w:lineRule="auto"/>
        <w:ind w:firstLineChars="200" w:firstLine="480"/>
        <w:rPr>
          <w:sz w:val="24"/>
        </w:rPr>
      </w:pPr>
      <w:r w:rsidRPr="007B14D9">
        <w:rPr>
          <w:rFonts w:hint="eastAsia"/>
          <w:sz w:val="24"/>
        </w:rPr>
        <w:t>（</w:t>
      </w:r>
      <w:r w:rsidRPr="007B14D9">
        <w:rPr>
          <w:rFonts w:hint="eastAsia"/>
          <w:sz w:val="24"/>
        </w:rPr>
        <w:t>4</w:t>
      </w:r>
      <w:r w:rsidRPr="007B14D9">
        <w:rPr>
          <w:rFonts w:hint="eastAsia"/>
          <w:sz w:val="24"/>
        </w:rPr>
        <w:t>）基金净值的历史波动程度；</w:t>
      </w:r>
    </w:p>
    <w:p w:rsidR="00720366" w:rsidRPr="007B14D9" w:rsidRDefault="00720366" w:rsidP="00720366">
      <w:pPr>
        <w:spacing w:line="360" w:lineRule="auto"/>
        <w:ind w:firstLineChars="200" w:firstLine="480"/>
        <w:rPr>
          <w:sz w:val="24"/>
        </w:rPr>
      </w:pPr>
      <w:r w:rsidRPr="007B14D9">
        <w:rPr>
          <w:rFonts w:hint="eastAsia"/>
          <w:sz w:val="24"/>
        </w:rPr>
        <w:t>（</w:t>
      </w:r>
      <w:r w:rsidRPr="007B14D9">
        <w:rPr>
          <w:rFonts w:hint="eastAsia"/>
          <w:sz w:val="24"/>
        </w:rPr>
        <w:t>5</w:t>
      </w:r>
      <w:r w:rsidRPr="007B14D9">
        <w:rPr>
          <w:rFonts w:hint="eastAsia"/>
          <w:sz w:val="24"/>
        </w:rPr>
        <w:t>）基金持仓比例</w:t>
      </w:r>
      <w:r w:rsidR="007D39A3">
        <w:rPr>
          <w:rFonts w:hint="eastAsia"/>
          <w:sz w:val="24"/>
        </w:rPr>
        <w:t>。</w:t>
      </w:r>
    </w:p>
    <w:p w:rsidR="00603A3B" w:rsidRPr="008E7EDF" w:rsidRDefault="00720366" w:rsidP="00614D2C">
      <w:pPr>
        <w:spacing w:line="360" w:lineRule="auto"/>
        <w:ind w:firstLineChars="200" w:firstLine="480"/>
        <w:rPr>
          <w:rFonts w:asciiTheme="minorEastAsia" w:eastAsiaTheme="minorEastAsia" w:hAnsiTheme="minorEastAsia"/>
          <w:sz w:val="24"/>
        </w:rPr>
      </w:pPr>
      <w:r w:rsidRPr="008E7EDF">
        <w:rPr>
          <w:rFonts w:asciiTheme="minorEastAsia" w:eastAsiaTheme="minorEastAsia" w:hAnsiTheme="minorEastAsia" w:hint="eastAsia"/>
          <w:sz w:val="24"/>
        </w:rPr>
        <w:t>3．其他</w:t>
      </w:r>
      <w:r w:rsidR="0040071B" w:rsidRPr="008E7EDF">
        <w:rPr>
          <w:rFonts w:asciiTheme="minorEastAsia" w:eastAsiaTheme="minorEastAsia" w:hAnsiTheme="minorEastAsia" w:hint="eastAsia"/>
          <w:sz w:val="24"/>
        </w:rPr>
        <w:t>附加</w:t>
      </w:r>
      <w:r w:rsidR="002A09F6" w:rsidRPr="008E7EDF">
        <w:rPr>
          <w:rFonts w:asciiTheme="minorEastAsia" w:eastAsiaTheme="minorEastAsia" w:hAnsiTheme="minorEastAsia" w:hint="eastAsia"/>
          <w:sz w:val="24"/>
        </w:rPr>
        <w:t>因素</w:t>
      </w:r>
    </w:p>
    <w:p w:rsidR="00720366" w:rsidRPr="007B14D9" w:rsidRDefault="006F329C" w:rsidP="0040071B">
      <w:pPr>
        <w:spacing w:line="360" w:lineRule="auto"/>
        <w:ind w:firstLineChars="200" w:firstLine="480"/>
        <w:rPr>
          <w:sz w:val="24"/>
        </w:rPr>
      </w:pPr>
      <w:r w:rsidRPr="007B14D9">
        <w:rPr>
          <w:rFonts w:hint="eastAsia"/>
          <w:sz w:val="24"/>
        </w:rPr>
        <w:t>基金管理人通过</w:t>
      </w:r>
      <w:r w:rsidR="0040071B" w:rsidRPr="007B14D9">
        <w:rPr>
          <w:rFonts w:hint="eastAsia"/>
          <w:sz w:val="24"/>
        </w:rPr>
        <w:t>审慎评估</w:t>
      </w:r>
      <w:r w:rsidRPr="007B14D9">
        <w:rPr>
          <w:rFonts w:hint="eastAsia"/>
          <w:sz w:val="24"/>
        </w:rPr>
        <w:t>基金产品</w:t>
      </w:r>
      <w:r w:rsidR="0040071B" w:rsidRPr="007B14D9">
        <w:rPr>
          <w:rFonts w:hint="eastAsia"/>
          <w:sz w:val="24"/>
        </w:rPr>
        <w:t>中</w:t>
      </w:r>
      <w:r w:rsidRPr="007B14D9">
        <w:rPr>
          <w:rFonts w:hint="eastAsia"/>
          <w:sz w:val="24"/>
        </w:rPr>
        <w:t>的各类特殊安排，或其他可能构成</w:t>
      </w:r>
      <w:r w:rsidR="0040071B" w:rsidRPr="007B14D9">
        <w:rPr>
          <w:rFonts w:hint="eastAsia"/>
          <w:sz w:val="24"/>
        </w:rPr>
        <w:t>基金</w:t>
      </w:r>
      <w:r w:rsidRPr="007B14D9">
        <w:rPr>
          <w:rFonts w:hint="eastAsia"/>
          <w:sz w:val="24"/>
        </w:rPr>
        <w:t>投资风险</w:t>
      </w:r>
      <w:r w:rsidR="0040071B" w:rsidRPr="007B14D9">
        <w:rPr>
          <w:rFonts w:hint="eastAsia"/>
          <w:sz w:val="24"/>
        </w:rPr>
        <w:t>的因素</w:t>
      </w:r>
      <w:r w:rsidRPr="007B14D9">
        <w:rPr>
          <w:rFonts w:hint="eastAsia"/>
          <w:sz w:val="24"/>
        </w:rPr>
        <w:t>，可</w:t>
      </w:r>
      <w:r w:rsidR="00603A3B" w:rsidRPr="007B14D9">
        <w:rPr>
          <w:rFonts w:hint="eastAsia"/>
          <w:sz w:val="24"/>
        </w:rPr>
        <w:t>在定性</w:t>
      </w:r>
      <w:r w:rsidR="0040071B" w:rsidRPr="007B14D9">
        <w:rPr>
          <w:rFonts w:hint="eastAsia"/>
          <w:sz w:val="24"/>
        </w:rPr>
        <w:t>及</w:t>
      </w:r>
      <w:r w:rsidR="00603A3B" w:rsidRPr="007B14D9">
        <w:rPr>
          <w:rFonts w:hint="eastAsia"/>
          <w:sz w:val="24"/>
        </w:rPr>
        <w:t>定量分析的基础上，</w:t>
      </w:r>
      <w:r w:rsidR="0040071B" w:rsidRPr="007B14D9">
        <w:rPr>
          <w:rFonts w:hint="eastAsia"/>
          <w:sz w:val="24"/>
        </w:rPr>
        <w:t>酌情对</w:t>
      </w:r>
      <w:r w:rsidR="00DE0AEC" w:rsidRPr="007B14D9">
        <w:rPr>
          <w:rFonts w:hint="eastAsia"/>
          <w:sz w:val="24"/>
        </w:rPr>
        <w:t>产品的</w:t>
      </w:r>
      <w:r w:rsidR="0040071B" w:rsidRPr="007B14D9">
        <w:rPr>
          <w:rFonts w:hint="eastAsia"/>
          <w:sz w:val="24"/>
        </w:rPr>
        <w:t>其他</w:t>
      </w:r>
      <w:r w:rsidR="00DE0AEC" w:rsidRPr="007B14D9">
        <w:rPr>
          <w:rFonts w:hint="eastAsia"/>
          <w:sz w:val="24"/>
        </w:rPr>
        <w:t>特定</w:t>
      </w:r>
      <w:r w:rsidR="0040071B" w:rsidRPr="007B14D9">
        <w:rPr>
          <w:rFonts w:hint="eastAsia"/>
          <w:sz w:val="24"/>
        </w:rPr>
        <w:t>安排和</w:t>
      </w:r>
      <w:r w:rsidR="00DE0AEC" w:rsidRPr="007B14D9">
        <w:rPr>
          <w:rFonts w:hint="eastAsia"/>
          <w:sz w:val="24"/>
        </w:rPr>
        <w:t>风险</w:t>
      </w:r>
      <w:r w:rsidR="0040071B" w:rsidRPr="007B14D9">
        <w:rPr>
          <w:rFonts w:hint="eastAsia"/>
          <w:sz w:val="24"/>
        </w:rPr>
        <w:t>因素</w:t>
      </w:r>
      <w:r w:rsidR="00DE0AEC" w:rsidRPr="007B14D9">
        <w:rPr>
          <w:rFonts w:hint="eastAsia"/>
          <w:sz w:val="24"/>
        </w:rPr>
        <w:t>给予</w:t>
      </w:r>
      <w:r w:rsidR="0040071B" w:rsidRPr="007B14D9">
        <w:rPr>
          <w:rFonts w:hint="eastAsia"/>
          <w:sz w:val="24"/>
        </w:rPr>
        <w:t>一定附加</w:t>
      </w:r>
      <w:r w:rsidR="00DE0AEC" w:rsidRPr="007B14D9">
        <w:rPr>
          <w:rFonts w:hint="eastAsia"/>
          <w:sz w:val="24"/>
        </w:rPr>
        <w:t>分，</w:t>
      </w:r>
      <w:r w:rsidR="0040071B" w:rsidRPr="007B14D9">
        <w:rPr>
          <w:rFonts w:hint="eastAsia"/>
          <w:sz w:val="24"/>
        </w:rPr>
        <w:t>并</w:t>
      </w:r>
      <w:r w:rsidR="00DE0AEC" w:rsidRPr="007B14D9">
        <w:rPr>
          <w:rFonts w:hint="eastAsia"/>
          <w:sz w:val="24"/>
        </w:rPr>
        <w:t>统一纳入风险评价</w:t>
      </w:r>
      <w:r w:rsidR="0040071B" w:rsidRPr="007B14D9">
        <w:rPr>
          <w:rFonts w:hint="eastAsia"/>
          <w:sz w:val="24"/>
        </w:rPr>
        <w:t>体系</w:t>
      </w:r>
      <w:r w:rsidR="00DE0AEC" w:rsidRPr="007B14D9">
        <w:rPr>
          <w:rFonts w:hint="eastAsia"/>
          <w:sz w:val="24"/>
        </w:rPr>
        <w:t>。</w:t>
      </w:r>
    </w:p>
    <w:p w:rsidR="00720366" w:rsidRPr="007B14D9" w:rsidRDefault="00720366" w:rsidP="00720366">
      <w:pPr>
        <w:spacing w:line="360" w:lineRule="auto"/>
        <w:ind w:firstLineChars="200" w:firstLine="482"/>
        <w:rPr>
          <w:sz w:val="24"/>
        </w:rPr>
      </w:pPr>
      <w:r w:rsidRPr="007B14D9">
        <w:rPr>
          <w:rFonts w:ascii="宋体" w:hAnsi="宋体" w:hint="eastAsia"/>
          <w:b/>
          <w:sz w:val="24"/>
          <w:szCs w:val="22"/>
        </w:rPr>
        <w:t xml:space="preserve">第四条 </w:t>
      </w:r>
      <w:r w:rsidRPr="007B14D9">
        <w:rPr>
          <w:rFonts w:ascii="宋体" w:hAnsi="宋体" w:hint="eastAsia"/>
          <w:sz w:val="24"/>
          <w:szCs w:val="22"/>
        </w:rPr>
        <w:t>公募</w:t>
      </w:r>
      <w:r w:rsidRPr="007B14D9">
        <w:rPr>
          <w:rFonts w:hint="eastAsia"/>
          <w:sz w:val="24"/>
        </w:rPr>
        <w:t>基金产品风险评价</w:t>
      </w:r>
      <w:r w:rsidR="002A09F6" w:rsidRPr="007B14D9">
        <w:rPr>
          <w:rFonts w:hint="eastAsia"/>
          <w:sz w:val="24"/>
        </w:rPr>
        <w:t>结果</w:t>
      </w:r>
      <w:r w:rsidRPr="007B14D9">
        <w:rPr>
          <w:rFonts w:hint="eastAsia"/>
          <w:sz w:val="24"/>
        </w:rPr>
        <w:t>以基金产品风险等级来具体反映，基金产品风险包括以下五个等级：</w:t>
      </w:r>
    </w:p>
    <w:p w:rsidR="00720366" w:rsidRPr="007B14D9" w:rsidRDefault="007D39A3" w:rsidP="00720366">
      <w:pPr>
        <w:spacing w:line="360" w:lineRule="auto"/>
        <w:ind w:firstLineChars="200" w:firstLine="480"/>
        <w:rPr>
          <w:sz w:val="24"/>
        </w:rPr>
      </w:pPr>
      <w:r>
        <w:rPr>
          <w:rFonts w:hint="eastAsia"/>
          <w:sz w:val="24"/>
        </w:rPr>
        <w:t>（</w:t>
      </w:r>
      <w:r>
        <w:rPr>
          <w:rFonts w:hint="eastAsia"/>
          <w:sz w:val="24"/>
        </w:rPr>
        <w:t>1</w:t>
      </w:r>
      <w:r>
        <w:rPr>
          <w:rFonts w:hint="eastAsia"/>
          <w:sz w:val="24"/>
        </w:rPr>
        <w:t>）</w:t>
      </w:r>
      <w:r w:rsidR="00563DFD">
        <w:rPr>
          <w:rFonts w:hint="eastAsia"/>
          <w:sz w:val="24"/>
        </w:rPr>
        <w:t>R1</w:t>
      </w:r>
      <w:r w:rsidR="00720366" w:rsidRPr="007B14D9">
        <w:rPr>
          <w:rFonts w:hint="eastAsia"/>
          <w:sz w:val="24"/>
        </w:rPr>
        <w:t>等级；</w:t>
      </w:r>
    </w:p>
    <w:p w:rsidR="00720366" w:rsidRPr="007B14D9" w:rsidRDefault="007D39A3" w:rsidP="00720366">
      <w:pPr>
        <w:spacing w:line="360" w:lineRule="auto"/>
        <w:ind w:firstLineChars="200" w:firstLine="480"/>
        <w:rPr>
          <w:sz w:val="24"/>
        </w:rPr>
      </w:pPr>
      <w:r>
        <w:rPr>
          <w:rFonts w:hint="eastAsia"/>
          <w:sz w:val="24"/>
        </w:rPr>
        <w:t>（</w:t>
      </w:r>
      <w:r>
        <w:rPr>
          <w:rFonts w:hint="eastAsia"/>
          <w:sz w:val="24"/>
        </w:rPr>
        <w:t>2</w:t>
      </w:r>
      <w:r>
        <w:rPr>
          <w:rFonts w:hint="eastAsia"/>
          <w:sz w:val="24"/>
        </w:rPr>
        <w:t>）</w:t>
      </w:r>
      <w:r w:rsidR="00563DFD">
        <w:rPr>
          <w:rFonts w:hint="eastAsia"/>
          <w:sz w:val="24"/>
        </w:rPr>
        <w:t>R2</w:t>
      </w:r>
      <w:r w:rsidR="00720366" w:rsidRPr="007B14D9">
        <w:rPr>
          <w:rFonts w:hint="eastAsia"/>
          <w:sz w:val="24"/>
        </w:rPr>
        <w:t>等级；</w:t>
      </w:r>
    </w:p>
    <w:p w:rsidR="00720366" w:rsidRPr="007B14D9" w:rsidRDefault="007D39A3" w:rsidP="00720366">
      <w:pPr>
        <w:spacing w:line="360" w:lineRule="auto"/>
        <w:ind w:firstLineChars="200" w:firstLine="480"/>
        <w:rPr>
          <w:sz w:val="24"/>
        </w:rPr>
      </w:pPr>
      <w:r>
        <w:rPr>
          <w:rFonts w:hint="eastAsia"/>
          <w:sz w:val="24"/>
        </w:rPr>
        <w:t>（</w:t>
      </w:r>
      <w:r>
        <w:rPr>
          <w:rFonts w:hint="eastAsia"/>
          <w:sz w:val="24"/>
        </w:rPr>
        <w:t>3</w:t>
      </w:r>
      <w:r>
        <w:rPr>
          <w:rFonts w:hint="eastAsia"/>
          <w:sz w:val="24"/>
        </w:rPr>
        <w:t>）</w:t>
      </w:r>
      <w:r w:rsidR="00563DFD">
        <w:rPr>
          <w:rFonts w:hint="eastAsia"/>
          <w:sz w:val="24"/>
        </w:rPr>
        <w:t>R3</w:t>
      </w:r>
      <w:r w:rsidR="00720366" w:rsidRPr="007B14D9">
        <w:rPr>
          <w:rFonts w:hint="eastAsia"/>
          <w:sz w:val="24"/>
        </w:rPr>
        <w:t>等级；</w:t>
      </w:r>
    </w:p>
    <w:p w:rsidR="00720366" w:rsidRPr="007B14D9" w:rsidRDefault="007D39A3" w:rsidP="00720366">
      <w:pPr>
        <w:spacing w:line="360" w:lineRule="auto"/>
        <w:ind w:firstLineChars="200" w:firstLine="480"/>
        <w:rPr>
          <w:sz w:val="24"/>
        </w:rPr>
      </w:pPr>
      <w:r>
        <w:rPr>
          <w:rFonts w:hint="eastAsia"/>
          <w:sz w:val="24"/>
        </w:rPr>
        <w:t>（</w:t>
      </w:r>
      <w:r>
        <w:rPr>
          <w:rFonts w:hint="eastAsia"/>
          <w:sz w:val="24"/>
        </w:rPr>
        <w:t>4</w:t>
      </w:r>
      <w:r>
        <w:rPr>
          <w:rFonts w:hint="eastAsia"/>
          <w:sz w:val="24"/>
        </w:rPr>
        <w:t>）</w:t>
      </w:r>
      <w:r w:rsidR="00563DFD">
        <w:rPr>
          <w:rFonts w:hint="eastAsia"/>
          <w:sz w:val="24"/>
        </w:rPr>
        <w:t>R4</w:t>
      </w:r>
      <w:r w:rsidR="00720366" w:rsidRPr="007B14D9">
        <w:rPr>
          <w:rFonts w:hint="eastAsia"/>
          <w:sz w:val="24"/>
        </w:rPr>
        <w:t>等级；</w:t>
      </w:r>
    </w:p>
    <w:p w:rsidR="00720366" w:rsidRPr="007B14D9" w:rsidRDefault="007D39A3" w:rsidP="00720366">
      <w:pPr>
        <w:spacing w:line="360" w:lineRule="auto"/>
        <w:ind w:firstLineChars="200" w:firstLine="480"/>
        <w:rPr>
          <w:sz w:val="24"/>
        </w:rPr>
      </w:pPr>
      <w:r>
        <w:rPr>
          <w:rFonts w:hint="eastAsia"/>
          <w:sz w:val="24"/>
        </w:rPr>
        <w:t>（</w:t>
      </w:r>
      <w:r>
        <w:rPr>
          <w:rFonts w:hint="eastAsia"/>
          <w:sz w:val="24"/>
        </w:rPr>
        <w:t>5</w:t>
      </w:r>
      <w:r>
        <w:rPr>
          <w:rFonts w:hint="eastAsia"/>
          <w:sz w:val="24"/>
        </w:rPr>
        <w:t>）</w:t>
      </w:r>
      <w:r w:rsidR="00563DFD">
        <w:rPr>
          <w:rFonts w:hint="eastAsia"/>
          <w:sz w:val="24"/>
        </w:rPr>
        <w:t>R5</w:t>
      </w:r>
      <w:r w:rsidR="00720366" w:rsidRPr="007B14D9">
        <w:rPr>
          <w:rFonts w:hint="eastAsia"/>
          <w:sz w:val="24"/>
        </w:rPr>
        <w:t>等级。</w:t>
      </w:r>
      <w:bookmarkStart w:id="13" w:name="_Toc144263972"/>
      <w:bookmarkStart w:id="14" w:name="_Toc300838724"/>
    </w:p>
    <w:p w:rsidR="00720366" w:rsidRPr="007B14D9" w:rsidRDefault="00720366" w:rsidP="00720366">
      <w:pPr>
        <w:spacing w:line="360" w:lineRule="auto"/>
        <w:ind w:firstLineChars="200" w:firstLine="482"/>
        <w:rPr>
          <w:sz w:val="24"/>
        </w:rPr>
      </w:pPr>
      <w:r w:rsidRPr="007B14D9">
        <w:rPr>
          <w:rFonts w:ascii="宋体" w:hAnsi="宋体" w:hint="eastAsia"/>
          <w:b/>
          <w:sz w:val="24"/>
          <w:szCs w:val="22"/>
        </w:rPr>
        <w:t>第五条</w:t>
      </w:r>
      <w:r w:rsidRPr="007B14D9">
        <w:rPr>
          <w:rFonts w:hint="eastAsia"/>
          <w:sz w:val="24"/>
        </w:rPr>
        <w:t xml:space="preserve"> </w:t>
      </w:r>
      <w:r w:rsidRPr="007B14D9">
        <w:rPr>
          <w:rFonts w:hint="eastAsia"/>
          <w:sz w:val="24"/>
        </w:rPr>
        <w:t>公募基金如果存在不同类型的子份额，在流动性安排和</w:t>
      </w:r>
      <w:r w:rsidR="00614D2C">
        <w:rPr>
          <w:rFonts w:hint="eastAsia"/>
          <w:sz w:val="24"/>
        </w:rPr>
        <w:t>收益分配等方面</w:t>
      </w:r>
      <w:r w:rsidRPr="007B14D9">
        <w:rPr>
          <w:rFonts w:hint="eastAsia"/>
          <w:sz w:val="24"/>
        </w:rPr>
        <w:t>存在明显差异的，应对不同类型的子份额分别</w:t>
      </w:r>
      <w:r w:rsidR="007D39A3">
        <w:rPr>
          <w:rFonts w:hint="eastAsia"/>
          <w:sz w:val="24"/>
        </w:rPr>
        <w:t>进行风险</w:t>
      </w:r>
      <w:r w:rsidRPr="007B14D9">
        <w:rPr>
          <w:rFonts w:hint="eastAsia"/>
          <w:sz w:val="24"/>
        </w:rPr>
        <w:t>评价。</w:t>
      </w:r>
    </w:p>
    <w:p w:rsidR="00720366" w:rsidRPr="007B14D9" w:rsidRDefault="00720366" w:rsidP="002454D1">
      <w:pPr>
        <w:keepNext/>
        <w:keepLines/>
        <w:spacing w:beforeLines="100" w:before="312" w:afterLines="100" w:after="312" w:line="360" w:lineRule="auto"/>
        <w:jc w:val="center"/>
        <w:outlineLvl w:val="1"/>
        <w:rPr>
          <w:rFonts w:ascii="黑体" w:eastAsia="黑体" w:hAnsi="宋体"/>
          <w:bCs/>
          <w:kern w:val="0"/>
          <w:sz w:val="30"/>
          <w:szCs w:val="28"/>
        </w:rPr>
      </w:pPr>
      <w:bookmarkStart w:id="15" w:name="_Toc484028137"/>
      <w:r w:rsidRPr="007B14D9">
        <w:rPr>
          <w:rFonts w:ascii="黑体" w:eastAsia="黑体" w:hAnsi="宋体" w:hint="eastAsia"/>
          <w:bCs/>
          <w:kern w:val="0"/>
          <w:sz w:val="30"/>
          <w:szCs w:val="28"/>
        </w:rPr>
        <w:t xml:space="preserve">第三章  </w:t>
      </w:r>
      <w:bookmarkEnd w:id="13"/>
      <w:bookmarkEnd w:id="14"/>
      <w:r w:rsidRPr="007B14D9">
        <w:rPr>
          <w:rFonts w:ascii="黑体" w:eastAsia="黑体" w:hAnsi="宋体" w:hint="eastAsia"/>
          <w:bCs/>
          <w:kern w:val="0"/>
          <w:sz w:val="30"/>
          <w:szCs w:val="28"/>
        </w:rPr>
        <w:t>公募基金产品风险评价方法</w:t>
      </w:r>
      <w:bookmarkEnd w:id="15"/>
    </w:p>
    <w:p w:rsidR="00F17C41" w:rsidRDefault="00720366" w:rsidP="002454D1">
      <w:pPr>
        <w:spacing w:beforeLines="100" w:before="312" w:line="360" w:lineRule="auto"/>
        <w:ind w:firstLineChars="147" w:firstLine="354"/>
        <w:rPr>
          <w:sz w:val="24"/>
        </w:rPr>
      </w:pPr>
      <w:r w:rsidRPr="007B14D9">
        <w:rPr>
          <w:rFonts w:ascii="宋体" w:hAnsi="宋体" w:hint="eastAsia"/>
          <w:b/>
          <w:sz w:val="24"/>
          <w:szCs w:val="22"/>
        </w:rPr>
        <w:t>第</w:t>
      </w:r>
      <w:r w:rsidR="00472469">
        <w:rPr>
          <w:rFonts w:ascii="宋体" w:hAnsi="宋体" w:hint="eastAsia"/>
          <w:b/>
          <w:sz w:val="24"/>
          <w:szCs w:val="22"/>
        </w:rPr>
        <w:t>六</w:t>
      </w:r>
      <w:r w:rsidRPr="007B14D9">
        <w:rPr>
          <w:rFonts w:ascii="宋体" w:hAnsi="宋体" w:hint="eastAsia"/>
          <w:b/>
          <w:sz w:val="24"/>
          <w:szCs w:val="22"/>
        </w:rPr>
        <w:t xml:space="preserve">条 </w:t>
      </w:r>
      <w:r w:rsidRPr="007B14D9">
        <w:rPr>
          <w:rFonts w:ascii="宋体" w:hAnsi="宋体" w:hint="eastAsia"/>
          <w:sz w:val="24"/>
          <w:szCs w:val="22"/>
        </w:rPr>
        <w:t>公募</w:t>
      </w:r>
      <w:r w:rsidR="002A09F6" w:rsidRPr="007B14D9">
        <w:rPr>
          <w:rFonts w:hint="eastAsia"/>
          <w:sz w:val="24"/>
        </w:rPr>
        <w:t>基金产品风险评价方法</w:t>
      </w:r>
      <w:r w:rsidRPr="007B14D9">
        <w:rPr>
          <w:rFonts w:hint="eastAsia"/>
          <w:sz w:val="24"/>
        </w:rPr>
        <w:t>，具体说明如下：</w:t>
      </w:r>
    </w:p>
    <w:p w:rsidR="00720366" w:rsidRPr="007B14D9" w:rsidRDefault="00720366" w:rsidP="00720366">
      <w:pPr>
        <w:spacing w:line="360" w:lineRule="auto"/>
        <w:ind w:firstLineChars="200" w:firstLine="480"/>
        <w:rPr>
          <w:sz w:val="24"/>
        </w:rPr>
      </w:pPr>
      <w:r w:rsidRPr="007B14D9">
        <w:rPr>
          <w:rFonts w:hint="eastAsia"/>
          <w:sz w:val="24"/>
        </w:rPr>
        <w:t>1</w:t>
      </w:r>
      <w:r w:rsidRPr="007B14D9">
        <w:rPr>
          <w:rFonts w:hint="eastAsia"/>
          <w:sz w:val="24"/>
        </w:rPr>
        <w:t>．定性分析方法</w:t>
      </w:r>
    </w:p>
    <w:p w:rsidR="00720366" w:rsidRPr="008E7EDF" w:rsidRDefault="00720366" w:rsidP="008E7EDF">
      <w:pPr>
        <w:spacing w:line="360" w:lineRule="auto"/>
        <w:ind w:firstLineChars="200" w:firstLine="480"/>
        <w:rPr>
          <w:sz w:val="24"/>
        </w:rPr>
      </w:pPr>
      <w:r w:rsidRPr="008E7EDF">
        <w:rPr>
          <w:rFonts w:hint="eastAsia"/>
          <w:sz w:val="24"/>
        </w:rPr>
        <w:t>（</w:t>
      </w:r>
      <w:r w:rsidRPr="008E7EDF">
        <w:rPr>
          <w:rFonts w:hint="eastAsia"/>
          <w:sz w:val="24"/>
        </w:rPr>
        <w:t>1</w:t>
      </w:r>
      <w:r w:rsidRPr="008E7EDF">
        <w:rPr>
          <w:rFonts w:hint="eastAsia"/>
          <w:sz w:val="24"/>
        </w:rPr>
        <w:t>）根据公募基金类别进行打分：</w:t>
      </w:r>
    </w:p>
    <w:p w:rsidR="00720366" w:rsidRPr="007B14D9" w:rsidRDefault="00720366" w:rsidP="00720366">
      <w:pPr>
        <w:spacing w:line="360" w:lineRule="auto"/>
        <w:ind w:firstLineChars="200" w:firstLine="480"/>
        <w:rPr>
          <w:sz w:val="24"/>
        </w:rPr>
      </w:pPr>
      <w:r w:rsidRPr="007B14D9">
        <w:rPr>
          <w:rFonts w:hint="eastAsia"/>
          <w:sz w:val="24"/>
        </w:rPr>
        <w:t>商品型基金</w:t>
      </w:r>
      <w:r w:rsidR="003B2515">
        <w:rPr>
          <w:rFonts w:hint="eastAsia"/>
          <w:sz w:val="24"/>
        </w:rPr>
        <w:t>、</w:t>
      </w:r>
      <w:r w:rsidR="00563DFD" w:rsidRPr="007B14D9">
        <w:rPr>
          <w:rFonts w:hint="eastAsia"/>
          <w:sz w:val="24"/>
        </w:rPr>
        <w:t>股票型基金、混合型基金</w:t>
      </w:r>
      <w:r w:rsidR="00563DFD">
        <w:rPr>
          <w:rFonts w:hint="eastAsia"/>
          <w:sz w:val="24"/>
        </w:rPr>
        <w:t>、</w:t>
      </w:r>
      <w:r w:rsidR="00563DFD" w:rsidRPr="007B14D9">
        <w:rPr>
          <w:rFonts w:hint="eastAsia"/>
          <w:sz w:val="24"/>
        </w:rPr>
        <w:t>股票型</w:t>
      </w:r>
      <w:r w:rsidR="00563DFD" w:rsidRPr="007B14D9">
        <w:rPr>
          <w:rFonts w:hint="eastAsia"/>
          <w:sz w:val="24"/>
        </w:rPr>
        <w:t>FOF</w:t>
      </w:r>
      <w:r w:rsidR="00563DFD">
        <w:rPr>
          <w:rFonts w:hint="eastAsia"/>
          <w:sz w:val="24"/>
        </w:rPr>
        <w:t>、</w:t>
      </w:r>
      <w:r w:rsidRPr="007B14D9">
        <w:rPr>
          <w:rFonts w:hint="eastAsia"/>
          <w:sz w:val="24"/>
        </w:rPr>
        <w:t>混合型</w:t>
      </w:r>
      <w:r w:rsidRPr="007B14D9">
        <w:rPr>
          <w:rFonts w:hint="eastAsia"/>
          <w:sz w:val="24"/>
        </w:rPr>
        <w:t>FOF</w:t>
      </w:r>
      <w:r w:rsidRPr="007B14D9">
        <w:rPr>
          <w:rFonts w:hint="eastAsia"/>
          <w:sz w:val="24"/>
        </w:rPr>
        <w:t>：风险评价得分为</w:t>
      </w:r>
      <w:r w:rsidRPr="007B14D9">
        <w:rPr>
          <w:rFonts w:hint="eastAsia"/>
          <w:sz w:val="24"/>
        </w:rPr>
        <w:t>30</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债券型基金、债券型</w:t>
      </w:r>
      <w:r w:rsidRPr="007B14D9">
        <w:rPr>
          <w:rFonts w:hint="eastAsia"/>
          <w:sz w:val="24"/>
        </w:rPr>
        <w:t>FOF</w:t>
      </w:r>
      <w:r w:rsidRPr="007B14D9">
        <w:rPr>
          <w:rFonts w:hint="eastAsia"/>
          <w:sz w:val="24"/>
        </w:rPr>
        <w:t>、避险策略基金：风险评价得分为</w:t>
      </w:r>
      <w:r w:rsidRPr="007B14D9">
        <w:rPr>
          <w:rFonts w:hint="eastAsia"/>
          <w:sz w:val="24"/>
        </w:rPr>
        <w:t>15</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货币型基金</w:t>
      </w:r>
      <w:r w:rsidR="00E005BC">
        <w:rPr>
          <w:rFonts w:hint="eastAsia"/>
          <w:sz w:val="24"/>
        </w:rPr>
        <w:t>、</w:t>
      </w:r>
      <w:r w:rsidR="00E005BC" w:rsidRPr="007B14D9">
        <w:rPr>
          <w:rFonts w:hint="eastAsia"/>
          <w:sz w:val="24"/>
        </w:rPr>
        <w:t>货币型</w:t>
      </w:r>
      <w:r w:rsidR="00E005BC" w:rsidRPr="007B14D9">
        <w:rPr>
          <w:rFonts w:hint="eastAsia"/>
          <w:sz w:val="24"/>
        </w:rPr>
        <w:t>FOF</w:t>
      </w:r>
      <w:r w:rsidRPr="007B14D9">
        <w:rPr>
          <w:rFonts w:hint="eastAsia"/>
          <w:sz w:val="24"/>
        </w:rPr>
        <w:t>：风险评价得分为</w:t>
      </w:r>
      <w:r w:rsidRPr="007B14D9">
        <w:rPr>
          <w:rFonts w:hint="eastAsia"/>
          <w:sz w:val="24"/>
        </w:rPr>
        <w:t>1</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lastRenderedPageBreak/>
        <w:t>其他类型</w:t>
      </w:r>
      <w:r w:rsidRPr="007B14D9">
        <w:rPr>
          <w:rFonts w:hint="eastAsia"/>
          <w:sz w:val="24"/>
        </w:rPr>
        <w:t>FOF</w:t>
      </w:r>
      <w:r w:rsidR="003B2515">
        <w:rPr>
          <w:rFonts w:hint="eastAsia"/>
          <w:sz w:val="24"/>
        </w:rPr>
        <w:t>、</w:t>
      </w:r>
      <w:r w:rsidR="003B2515">
        <w:rPr>
          <w:rFonts w:hint="eastAsia"/>
          <w:sz w:val="24"/>
        </w:rPr>
        <w:t>QDII</w:t>
      </w:r>
      <w:r w:rsidR="003B2515">
        <w:rPr>
          <w:rFonts w:hint="eastAsia"/>
          <w:sz w:val="24"/>
        </w:rPr>
        <w:t>产品</w:t>
      </w:r>
      <w:r w:rsidR="00614D2C">
        <w:rPr>
          <w:rFonts w:hint="eastAsia"/>
          <w:sz w:val="24"/>
        </w:rPr>
        <w:t>及未来证监会批准的新型公募产品</w:t>
      </w:r>
      <w:r w:rsidRPr="007B14D9">
        <w:rPr>
          <w:rFonts w:hint="eastAsia"/>
          <w:sz w:val="24"/>
        </w:rPr>
        <w:t>根据投资范围、投资比例</w:t>
      </w:r>
      <w:r w:rsidR="00614D2C">
        <w:rPr>
          <w:rFonts w:hint="eastAsia"/>
          <w:sz w:val="24"/>
        </w:rPr>
        <w:t>、风险收益特征</w:t>
      </w:r>
      <w:r w:rsidRPr="007B14D9">
        <w:rPr>
          <w:rFonts w:hint="eastAsia"/>
          <w:sz w:val="24"/>
        </w:rPr>
        <w:t>等因素，参照以上基金类别进行打分。</w:t>
      </w:r>
    </w:p>
    <w:p w:rsidR="00720366" w:rsidRPr="008E7EDF" w:rsidRDefault="00720366" w:rsidP="008E7EDF">
      <w:pPr>
        <w:spacing w:line="360" w:lineRule="auto"/>
        <w:ind w:firstLineChars="200" w:firstLine="480"/>
        <w:rPr>
          <w:sz w:val="24"/>
        </w:rPr>
      </w:pPr>
      <w:r w:rsidRPr="008E7EDF">
        <w:rPr>
          <w:rFonts w:hint="eastAsia"/>
          <w:sz w:val="24"/>
        </w:rPr>
        <w:t>（</w:t>
      </w:r>
      <w:r w:rsidRPr="008E7EDF">
        <w:rPr>
          <w:rFonts w:hint="eastAsia"/>
          <w:sz w:val="24"/>
        </w:rPr>
        <w:t>2</w:t>
      </w:r>
      <w:r w:rsidRPr="008E7EDF">
        <w:rPr>
          <w:rFonts w:hint="eastAsia"/>
          <w:sz w:val="24"/>
        </w:rPr>
        <w:t>）根据公募基金的流动性和到期时限进行打分：</w:t>
      </w:r>
    </w:p>
    <w:p w:rsidR="00720366" w:rsidRPr="007B14D9" w:rsidRDefault="00720366" w:rsidP="00720366">
      <w:pPr>
        <w:spacing w:line="360" w:lineRule="auto"/>
        <w:ind w:firstLineChars="200" w:firstLine="480"/>
        <w:rPr>
          <w:sz w:val="24"/>
        </w:rPr>
      </w:pPr>
      <w:r w:rsidRPr="007B14D9">
        <w:rPr>
          <w:rFonts w:hint="eastAsia"/>
          <w:sz w:val="24"/>
        </w:rPr>
        <w:t>封闭期在</w:t>
      </w:r>
      <w:r w:rsidRPr="007B14D9">
        <w:rPr>
          <w:rFonts w:hint="eastAsia"/>
          <w:sz w:val="24"/>
        </w:rPr>
        <w:t>1</w:t>
      </w:r>
      <w:r w:rsidRPr="007B14D9">
        <w:rPr>
          <w:rFonts w:hint="eastAsia"/>
          <w:sz w:val="24"/>
        </w:rPr>
        <w:t>年</w:t>
      </w:r>
      <w:r w:rsidR="00F10704" w:rsidRPr="007B14D9">
        <w:rPr>
          <w:rFonts w:hint="eastAsia"/>
          <w:sz w:val="24"/>
        </w:rPr>
        <w:t>（含）</w:t>
      </w:r>
      <w:r w:rsidRPr="007B14D9">
        <w:rPr>
          <w:rFonts w:hint="eastAsia"/>
          <w:sz w:val="24"/>
        </w:rPr>
        <w:t>以上</w:t>
      </w:r>
      <w:r w:rsidR="00F10704" w:rsidRPr="007B14D9">
        <w:rPr>
          <w:rFonts w:hint="eastAsia"/>
          <w:sz w:val="24"/>
        </w:rPr>
        <w:t>，且封闭期不能流通转让</w:t>
      </w:r>
      <w:r w:rsidRPr="007B14D9">
        <w:rPr>
          <w:rFonts w:hint="eastAsia"/>
          <w:sz w:val="24"/>
        </w:rPr>
        <w:t>，风险评价得分为</w:t>
      </w:r>
      <w:r w:rsidRPr="007B14D9">
        <w:rPr>
          <w:rFonts w:hint="eastAsia"/>
          <w:sz w:val="24"/>
        </w:rPr>
        <w:t>3</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封闭期在</w:t>
      </w:r>
      <w:r w:rsidRPr="007B14D9">
        <w:rPr>
          <w:rFonts w:hint="eastAsia"/>
          <w:sz w:val="24"/>
        </w:rPr>
        <w:t>1</w:t>
      </w:r>
      <w:r w:rsidRPr="007B14D9">
        <w:rPr>
          <w:rFonts w:hint="eastAsia"/>
          <w:sz w:val="24"/>
        </w:rPr>
        <w:t>年</w:t>
      </w:r>
      <w:r w:rsidR="00F10704" w:rsidRPr="007B14D9">
        <w:rPr>
          <w:rFonts w:hint="eastAsia"/>
          <w:sz w:val="24"/>
        </w:rPr>
        <w:t>（含）</w:t>
      </w:r>
      <w:r w:rsidRPr="007B14D9">
        <w:rPr>
          <w:rFonts w:hint="eastAsia"/>
          <w:sz w:val="24"/>
        </w:rPr>
        <w:t>以上</w:t>
      </w:r>
      <w:r w:rsidR="00F10704" w:rsidRPr="007B14D9">
        <w:rPr>
          <w:rFonts w:hint="eastAsia"/>
          <w:sz w:val="24"/>
        </w:rPr>
        <w:t>，且封闭期能够流通转让</w:t>
      </w:r>
      <w:r w:rsidRPr="007B14D9">
        <w:rPr>
          <w:rFonts w:hint="eastAsia"/>
          <w:sz w:val="24"/>
        </w:rPr>
        <w:t>，风险评价得分为</w:t>
      </w:r>
      <w:r w:rsidRPr="007B14D9">
        <w:rPr>
          <w:rFonts w:hint="eastAsia"/>
          <w:sz w:val="24"/>
        </w:rPr>
        <w:t>2</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封闭期在</w:t>
      </w:r>
      <w:r w:rsidRPr="007B14D9">
        <w:rPr>
          <w:rFonts w:hint="eastAsia"/>
          <w:sz w:val="24"/>
        </w:rPr>
        <w:t>1</w:t>
      </w:r>
      <w:r w:rsidR="00F10704" w:rsidRPr="007B14D9">
        <w:rPr>
          <w:rFonts w:hint="eastAsia"/>
          <w:sz w:val="24"/>
        </w:rPr>
        <w:t>年以下</w:t>
      </w:r>
      <w:r w:rsidRPr="007B14D9">
        <w:rPr>
          <w:rFonts w:hint="eastAsia"/>
          <w:sz w:val="24"/>
        </w:rPr>
        <w:t>，风险评价得分为</w:t>
      </w:r>
      <w:r w:rsidRPr="007B14D9">
        <w:rPr>
          <w:rFonts w:hint="eastAsia"/>
          <w:sz w:val="24"/>
        </w:rPr>
        <w:t>1</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开放式基金，风险评价得分为</w:t>
      </w:r>
      <w:r w:rsidRPr="007B14D9">
        <w:rPr>
          <w:rFonts w:hint="eastAsia"/>
          <w:sz w:val="24"/>
        </w:rPr>
        <w:t>0</w:t>
      </w:r>
      <w:r w:rsidRPr="007B14D9">
        <w:rPr>
          <w:rFonts w:hint="eastAsia"/>
          <w:sz w:val="24"/>
        </w:rPr>
        <w:t>分。</w:t>
      </w:r>
    </w:p>
    <w:p w:rsidR="00720366" w:rsidRPr="008E7EDF" w:rsidRDefault="00720366" w:rsidP="008E7EDF">
      <w:pPr>
        <w:spacing w:line="360" w:lineRule="auto"/>
        <w:ind w:firstLineChars="200" w:firstLine="480"/>
        <w:rPr>
          <w:sz w:val="24"/>
        </w:rPr>
      </w:pPr>
      <w:r w:rsidRPr="008E7EDF">
        <w:rPr>
          <w:rFonts w:hint="eastAsia"/>
          <w:sz w:val="24"/>
        </w:rPr>
        <w:t>（</w:t>
      </w:r>
      <w:r w:rsidRPr="008E7EDF">
        <w:rPr>
          <w:rFonts w:hint="eastAsia"/>
          <w:sz w:val="24"/>
        </w:rPr>
        <w:t>3</w:t>
      </w:r>
      <w:r w:rsidRPr="008E7EDF">
        <w:rPr>
          <w:rFonts w:hint="eastAsia"/>
          <w:sz w:val="24"/>
        </w:rPr>
        <w:t>）根据公募基金杠杆情况进行打分</w:t>
      </w:r>
      <w:r w:rsidR="002A09F6" w:rsidRPr="008E7EDF">
        <w:rPr>
          <w:rFonts w:hint="eastAsia"/>
          <w:sz w:val="24"/>
        </w:rPr>
        <w:t>：</w:t>
      </w:r>
    </w:p>
    <w:p w:rsidR="00720366" w:rsidRPr="007B14D9" w:rsidRDefault="00720366" w:rsidP="00720366">
      <w:pPr>
        <w:spacing w:line="360" w:lineRule="auto"/>
        <w:ind w:firstLineChars="200" w:firstLine="480"/>
        <w:rPr>
          <w:sz w:val="24"/>
        </w:rPr>
      </w:pPr>
      <w:r w:rsidRPr="007B14D9">
        <w:rPr>
          <w:rFonts w:hint="eastAsia"/>
          <w:sz w:val="24"/>
        </w:rPr>
        <w:t>总资产</w:t>
      </w:r>
      <w:r w:rsidRPr="007B14D9">
        <w:rPr>
          <w:rFonts w:hint="eastAsia"/>
          <w:sz w:val="24"/>
        </w:rPr>
        <w:t>/</w:t>
      </w:r>
      <w:r w:rsidRPr="007B14D9">
        <w:rPr>
          <w:rFonts w:hint="eastAsia"/>
          <w:sz w:val="24"/>
        </w:rPr>
        <w:t>净资产上限大于</w:t>
      </w:r>
      <w:r w:rsidRPr="007B14D9">
        <w:rPr>
          <w:rFonts w:hint="eastAsia"/>
          <w:sz w:val="24"/>
        </w:rPr>
        <w:t>140%</w:t>
      </w:r>
      <w:r w:rsidRPr="007B14D9">
        <w:rPr>
          <w:rFonts w:hint="eastAsia"/>
          <w:sz w:val="24"/>
        </w:rPr>
        <w:t>，风险评价得分为</w:t>
      </w:r>
      <w:r w:rsidR="00F94D78" w:rsidRPr="007B14D9">
        <w:rPr>
          <w:rFonts w:hint="eastAsia"/>
          <w:sz w:val="24"/>
        </w:rPr>
        <w:t>2</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总资产</w:t>
      </w:r>
      <w:r w:rsidRPr="007B14D9">
        <w:rPr>
          <w:rFonts w:hint="eastAsia"/>
          <w:sz w:val="24"/>
        </w:rPr>
        <w:t>/</w:t>
      </w:r>
      <w:r w:rsidRPr="007B14D9">
        <w:rPr>
          <w:rFonts w:hint="eastAsia"/>
          <w:sz w:val="24"/>
        </w:rPr>
        <w:t>净资产上限小于等于</w:t>
      </w:r>
      <w:r w:rsidRPr="007B14D9">
        <w:rPr>
          <w:rFonts w:hint="eastAsia"/>
          <w:sz w:val="24"/>
        </w:rPr>
        <w:t>140%</w:t>
      </w:r>
      <w:r w:rsidRPr="007B14D9">
        <w:rPr>
          <w:rFonts w:hint="eastAsia"/>
          <w:sz w:val="24"/>
        </w:rPr>
        <w:t>，风险评价得分为</w:t>
      </w:r>
      <w:r w:rsidRPr="007B14D9">
        <w:rPr>
          <w:rFonts w:hint="eastAsia"/>
          <w:sz w:val="24"/>
        </w:rPr>
        <w:t>0</w:t>
      </w:r>
      <w:r w:rsidRPr="007B14D9">
        <w:rPr>
          <w:rFonts w:hint="eastAsia"/>
          <w:sz w:val="24"/>
        </w:rPr>
        <w:t>分。</w:t>
      </w:r>
    </w:p>
    <w:p w:rsidR="00720366" w:rsidRPr="008E7EDF" w:rsidRDefault="00720366" w:rsidP="008E7EDF">
      <w:pPr>
        <w:spacing w:line="360" w:lineRule="auto"/>
        <w:ind w:firstLineChars="200" w:firstLine="480"/>
        <w:rPr>
          <w:sz w:val="24"/>
        </w:rPr>
      </w:pPr>
      <w:r w:rsidRPr="008E7EDF">
        <w:rPr>
          <w:rFonts w:hint="eastAsia"/>
          <w:sz w:val="24"/>
        </w:rPr>
        <w:t>（</w:t>
      </w:r>
      <w:r w:rsidRPr="008E7EDF">
        <w:rPr>
          <w:rFonts w:hint="eastAsia"/>
          <w:sz w:val="24"/>
        </w:rPr>
        <w:t>4</w:t>
      </w:r>
      <w:r w:rsidRPr="008E7EDF">
        <w:rPr>
          <w:rFonts w:hint="eastAsia"/>
          <w:sz w:val="24"/>
        </w:rPr>
        <w:t>）根据公募基金结构复杂性进行打分：</w:t>
      </w:r>
    </w:p>
    <w:p w:rsidR="00720366" w:rsidRPr="007B14D9" w:rsidRDefault="00720366" w:rsidP="00720366">
      <w:pPr>
        <w:spacing w:line="360" w:lineRule="auto"/>
        <w:ind w:firstLineChars="200" w:firstLine="480"/>
        <w:rPr>
          <w:sz w:val="24"/>
        </w:rPr>
      </w:pPr>
      <w:r w:rsidRPr="007B14D9">
        <w:rPr>
          <w:rFonts w:hint="eastAsia"/>
          <w:sz w:val="24"/>
        </w:rPr>
        <w:t>分级基金劣后级，风险评价得分为</w:t>
      </w:r>
      <w:r w:rsidR="002041F7">
        <w:rPr>
          <w:rFonts w:hint="eastAsia"/>
          <w:sz w:val="24"/>
        </w:rPr>
        <w:t>30</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分级基金优先级，风险评价得分为</w:t>
      </w:r>
      <w:r w:rsidR="00F10704" w:rsidRPr="007B14D9">
        <w:rPr>
          <w:rFonts w:hint="eastAsia"/>
          <w:sz w:val="24"/>
        </w:rPr>
        <w:t>2</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非分级基金，风险评价得分为</w:t>
      </w:r>
      <w:r w:rsidRPr="007B14D9">
        <w:rPr>
          <w:rFonts w:hint="eastAsia"/>
          <w:sz w:val="24"/>
        </w:rPr>
        <w:t>0</w:t>
      </w:r>
      <w:r w:rsidRPr="007B14D9">
        <w:rPr>
          <w:rFonts w:hint="eastAsia"/>
          <w:sz w:val="24"/>
        </w:rPr>
        <w:t>分。</w:t>
      </w:r>
    </w:p>
    <w:p w:rsidR="00E45477" w:rsidRPr="008E7EDF" w:rsidRDefault="00720366" w:rsidP="008E7EDF">
      <w:pPr>
        <w:spacing w:line="360" w:lineRule="auto"/>
        <w:ind w:firstLineChars="200" w:firstLine="480"/>
        <w:rPr>
          <w:sz w:val="24"/>
        </w:rPr>
      </w:pPr>
      <w:r w:rsidRPr="008E7EDF">
        <w:rPr>
          <w:rFonts w:hint="eastAsia"/>
          <w:sz w:val="24"/>
        </w:rPr>
        <w:t>（</w:t>
      </w:r>
      <w:r w:rsidRPr="008E7EDF">
        <w:rPr>
          <w:rFonts w:hint="eastAsia"/>
          <w:sz w:val="24"/>
        </w:rPr>
        <w:t>5</w:t>
      </w:r>
      <w:r w:rsidRPr="008E7EDF">
        <w:rPr>
          <w:rFonts w:hint="eastAsia"/>
          <w:sz w:val="24"/>
        </w:rPr>
        <w:t>）根据投资单位产品或者相关服务的最低金额</w:t>
      </w:r>
      <w:r w:rsidR="002A09F6" w:rsidRPr="008E7EDF">
        <w:rPr>
          <w:rFonts w:hint="eastAsia"/>
          <w:sz w:val="24"/>
        </w:rPr>
        <w:t>进行打分</w:t>
      </w:r>
      <w:r w:rsidRPr="008E7EDF">
        <w:rPr>
          <w:rFonts w:hint="eastAsia"/>
          <w:sz w:val="24"/>
        </w:rPr>
        <w:t>：</w:t>
      </w:r>
    </w:p>
    <w:p w:rsidR="00720366" w:rsidRPr="007B14D9" w:rsidRDefault="00E45477" w:rsidP="00E45477">
      <w:pPr>
        <w:spacing w:line="360" w:lineRule="auto"/>
        <w:ind w:firstLineChars="200" w:firstLine="480"/>
        <w:rPr>
          <w:b/>
          <w:sz w:val="24"/>
        </w:rPr>
      </w:pPr>
      <w:r w:rsidRPr="007B14D9">
        <w:rPr>
          <w:rFonts w:hint="eastAsia"/>
          <w:sz w:val="24"/>
        </w:rPr>
        <w:t>（风险收益特征类似的产品分类除外）</w:t>
      </w:r>
    </w:p>
    <w:p w:rsidR="00720366" w:rsidRPr="007B14D9" w:rsidRDefault="00720366" w:rsidP="00720366">
      <w:pPr>
        <w:spacing w:line="360" w:lineRule="auto"/>
        <w:ind w:firstLineChars="200" w:firstLine="480"/>
        <w:rPr>
          <w:sz w:val="24"/>
        </w:rPr>
      </w:pPr>
      <w:r w:rsidRPr="007B14D9">
        <w:rPr>
          <w:rFonts w:hint="eastAsia"/>
          <w:sz w:val="24"/>
        </w:rPr>
        <w:t>投资最低金额</w:t>
      </w:r>
      <w:r w:rsidRPr="007B14D9">
        <w:rPr>
          <w:rFonts w:hint="eastAsia"/>
          <w:sz w:val="24"/>
        </w:rPr>
        <w:t>5</w:t>
      </w:r>
      <w:r w:rsidRPr="007B14D9">
        <w:rPr>
          <w:rFonts w:hint="eastAsia"/>
          <w:sz w:val="24"/>
        </w:rPr>
        <w:t>万元及以上的，风险评价得分为</w:t>
      </w:r>
      <w:r w:rsidR="00A60792" w:rsidRPr="007B14D9">
        <w:rPr>
          <w:rFonts w:hint="eastAsia"/>
          <w:sz w:val="24"/>
        </w:rPr>
        <w:t>1</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投资最低金额</w:t>
      </w:r>
      <w:r w:rsidRPr="007B14D9">
        <w:rPr>
          <w:rFonts w:hint="eastAsia"/>
          <w:sz w:val="24"/>
        </w:rPr>
        <w:t>5</w:t>
      </w:r>
      <w:r w:rsidRPr="007B14D9">
        <w:rPr>
          <w:rFonts w:hint="eastAsia"/>
          <w:sz w:val="24"/>
        </w:rPr>
        <w:t>万元以下的，风险评价得分为</w:t>
      </w:r>
      <w:r w:rsidRPr="007B14D9">
        <w:rPr>
          <w:rFonts w:hint="eastAsia"/>
          <w:sz w:val="24"/>
        </w:rPr>
        <w:t>0</w:t>
      </w:r>
      <w:r w:rsidRPr="007B14D9">
        <w:rPr>
          <w:rFonts w:hint="eastAsia"/>
          <w:sz w:val="24"/>
        </w:rPr>
        <w:t>分。</w:t>
      </w:r>
    </w:p>
    <w:p w:rsidR="00720366" w:rsidRPr="008E7EDF" w:rsidRDefault="00720366" w:rsidP="008E7EDF">
      <w:pPr>
        <w:spacing w:line="360" w:lineRule="auto"/>
        <w:ind w:firstLineChars="200" w:firstLine="480"/>
        <w:rPr>
          <w:sz w:val="24"/>
        </w:rPr>
      </w:pPr>
      <w:r w:rsidRPr="008E7EDF">
        <w:rPr>
          <w:rFonts w:hint="eastAsia"/>
          <w:sz w:val="24"/>
        </w:rPr>
        <w:t>（</w:t>
      </w:r>
      <w:r w:rsidRPr="008E7EDF">
        <w:rPr>
          <w:rFonts w:hint="eastAsia"/>
          <w:sz w:val="24"/>
        </w:rPr>
        <w:t>6</w:t>
      </w:r>
      <w:r w:rsidRPr="008E7EDF">
        <w:rPr>
          <w:rFonts w:hint="eastAsia"/>
          <w:sz w:val="24"/>
        </w:rPr>
        <w:t>）根据基金的募集方式进行打分</w:t>
      </w:r>
      <w:r w:rsidR="002A09F6" w:rsidRPr="008E7EDF">
        <w:rPr>
          <w:rFonts w:hint="eastAsia"/>
          <w:sz w:val="24"/>
        </w:rPr>
        <w:t>：</w:t>
      </w:r>
    </w:p>
    <w:p w:rsidR="00720366" w:rsidRPr="007B14D9" w:rsidRDefault="00720366" w:rsidP="00720366">
      <w:pPr>
        <w:spacing w:line="360" w:lineRule="auto"/>
        <w:ind w:firstLineChars="200" w:firstLine="480"/>
        <w:rPr>
          <w:sz w:val="24"/>
        </w:rPr>
      </w:pPr>
      <w:r w:rsidRPr="007B14D9">
        <w:rPr>
          <w:rFonts w:hint="eastAsia"/>
          <w:sz w:val="24"/>
        </w:rPr>
        <w:t>定制公募，风险评价得分为</w:t>
      </w:r>
      <w:r w:rsidR="00A60792" w:rsidRPr="007B14D9">
        <w:rPr>
          <w:rFonts w:hint="eastAsia"/>
          <w:sz w:val="24"/>
        </w:rPr>
        <w:t>1</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非定制公募，风险评价得分为</w:t>
      </w:r>
      <w:r w:rsidRPr="007B14D9">
        <w:rPr>
          <w:rFonts w:hint="eastAsia"/>
          <w:sz w:val="24"/>
        </w:rPr>
        <w:t>0</w:t>
      </w:r>
      <w:r w:rsidRPr="007B14D9">
        <w:rPr>
          <w:rFonts w:hint="eastAsia"/>
          <w:sz w:val="24"/>
        </w:rPr>
        <w:t>分。</w:t>
      </w:r>
    </w:p>
    <w:p w:rsidR="00720366" w:rsidRPr="008E7EDF" w:rsidRDefault="00720366" w:rsidP="000C1F1F">
      <w:pPr>
        <w:spacing w:line="360" w:lineRule="auto"/>
        <w:ind w:firstLineChars="200" w:firstLine="480"/>
        <w:rPr>
          <w:sz w:val="24"/>
        </w:rPr>
      </w:pPr>
      <w:r w:rsidRPr="008E7EDF">
        <w:rPr>
          <w:rFonts w:hint="eastAsia"/>
          <w:sz w:val="24"/>
        </w:rPr>
        <w:t>2</w:t>
      </w:r>
      <w:r w:rsidRPr="008E7EDF">
        <w:rPr>
          <w:rFonts w:hint="eastAsia"/>
          <w:sz w:val="24"/>
        </w:rPr>
        <w:t>．定量分析方法</w:t>
      </w:r>
    </w:p>
    <w:p w:rsidR="00720366" w:rsidRPr="008E7EDF" w:rsidRDefault="00720366" w:rsidP="000C1F1F">
      <w:pPr>
        <w:spacing w:line="360" w:lineRule="auto"/>
        <w:ind w:firstLineChars="200" w:firstLine="480"/>
        <w:rPr>
          <w:sz w:val="24"/>
        </w:rPr>
      </w:pPr>
      <w:r w:rsidRPr="008E7EDF">
        <w:rPr>
          <w:rFonts w:hint="eastAsia"/>
          <w:sz w:val="24"/>
        </w:rPr>
        <w:t>（</w:t>
      </w:r>
      <w:r w:rsidRPr="008E7EDF">
        <w:rPr>
          <w:rFonts w:hint="eastAsia"/>
          <w:sz w:val="24"/>
        </w:rPr>
        <w:t>1</w:t>
      </w:r>
      <w:r w:rsidRPr="008E7EDF">
        <w:rPr>
          <w:rFonts w:hint="eastAsia"/>
          <w:sz w:val="24"/>
        </w:rPr>
        <w:t>）基金成立以来有无违规行为发生：</w:t>
      </w:r>
    </w:p>
    <w:p w:rsidR="00720366" w:rsidRPr="007B14D9" w:rsidRDefault="00720366" w:rsidP="00720366">
      <w:pPr>
        <w:spacing w:line="360" w:lineRule="auto"/>
        <w:ind w:firstLineChars="200" w:firstLine="480"/>
        <w:rPr>
          <w:sz w:val="24"/>
        </w:rPr>
      </w:pPr>
      <w:r w:rsidRPr="007B14D9">
        <w:rPr>
          <w:rFonts w:hint="eastAsia"/>
          <w:sz w:val="24"/>
        </w:rPr>
        <w:t>基金成立以来有重大违规行为发生的，风险评价得分为</w:t>
      </w:r>
      <w:r w:rsidR="00F94D78" w:rsidRPr="007B14D9">
        <w:rPr>
          <w:rFonts w:hint="eastAsia"/>
          <w:sz w:val="24"/>
        </w:rPr>
        <w:t>3</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基金成立以来有一般违规行为发生的，风险评价得分为</w:t>
      </w:r>
      <w:r w:rsidR="00F94D78" w:rsidRPr="007B14D9">
        <w:rPr>
          <w:rFonts w:hint="eastAsia"/>
          <w:sz w:val="24"/>
        </w:rPr>
        <w:t>2</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基金成立以来无违规行为发生的，风险评价得分为</w:t>
      </w:r>
      <w:r w:rsidRPr="007B14D9">
        <w:rPr>
          <w:rFonts w:hint="eastAsia"/>
          <w:sz w:val="24"/>
        </w:rPr>
        <w:t>0</w:t>
      </w:r>
      <w:r w:rsidRPr="007B14D9">
        <w:rPr>
          <w:rFonts w:hint="eastAsia"/>
          <w:sz w:val="24"/>
        </w:rPr>
        <w:t>分。</w:t>
      </w:r>
    </w:p>
    <w:p w:rsidR="00720366" w:rsidRPr="008E7EDF" w:rsidRDefault="00720366" w:rsidP="000C1F1F">
      <w:pPr>
        <w:spacing w:line="360" w:lineRule="auto"/>
        <w:ind w:firstLineChars="200" w:firstLine="480"/>
        <w:rPr>
          <w:sz w:val="24"/>
        </w:rPr>
      </w:pPr>
      <w:r w:rsidRPr="008E7EDF">
        <w:rPr>
          <w:rFonts w:hint="eastAsia"/>
          <w:sz w:val="24"/>
        </w:rPr>
        <w:t>（</w:t>
      </w:r>
      <w:r w:rsidRPr="008E7EDF">
        <w:rPr>
          <w:rFonts w:hint="eastAsia"/>
          <w:sz w:val="24"/>
        </w:rPr>
        <w:t>2</w:t>
      </w:r>
      <w:r w:rsidRPr="008E7EDF">
        <w:rPr>
          <w:rFonts w:hint="eastAsia"/>
          <w:sz w:val="24"/>
        </w:rPr>
        <w:t>）根据基金的历史规模进行打分</w:t>
      </w:r>
    </w:p>
    <w:p w:rsidR="00720366" w:rsidRPr="007B14D9" w:rsidRDefault="00720366" w:rsidP="00720366">
      <w:pPr>
        <w:spacing w:line="360" w:lineRule="auto"/>
        <w:ind w:firstLineChars="200" w:firstLine="480"/>
        <w:rPr>
          <w:sz w:val="24"/>
        </w:rPr>
      </w:pPr>
      <w:r w:rsidRPr="007B14D9">
        <w:rPr>
          <w:rFonts w:hint="eastAsia"/>
          <w:sz w:val="24"/>
        </w:rPr>
        <w:t>基金最新规模小于五千万元，风险评价得分为</w:t>
      </w:r>
      <w:r w:rsidRPr="007B14D9">
        <w:rPr>
          <w:rFonts w:hint="eastAsia"/>
          <w:sz w:val="24"/>
        </w:rPr>
        <w:t>1</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基金最新规模大于等于五千万元，风险评价得分为</w:t>
      </w:r>
      <w:r w:rsidRPr="007B14D9">
        <w:rPr>
          <w:rFonts w:hint="eastAsia"/>
          <w:sz w:val="24"/>
        </w:rPr>
        <w:t>0</w:t>
      </w:r>
      <w:r w:rsidRPr="007B14D9">
        <w:rPr>
          <w:rFonts w:hint="eastAsia"/>
          <w:sz w:val="24"/>
        </w:rPr>
        <w:t>分。</w:t>
      </w:r>
    </w:p>
    <w:p w:rsidR="00720366" w:rsidRPr="008E7EDF" w:rsidRDefault="00720366" w:rsidP="000C1F1F">
      <w:pPr>
        <w:spacing w:line="360" w:lineRule="auto"/>
        <w:ind w:firstLineChars="200" w:firstLine="480"/>
        <w:rPr>
          <w:sz w:val="24"/>
        </w:rPr>
      </w:pPr>
      <w:r w:rsidRPr="008E7EDF">
        <w:rPr>
          <w:rFonts w:hint="eastAsia"/>
          <w:sz w:val="24"/>
        </w:rPr>
        <w:lastRenderedPageBreak/>
        <w:t>（</w:t>
      </w:r>
      <w:r w:rsidRPr="008E7EDF">
        <w:rPr>
          <w:rFonts w:hint="eastAsia"/>
          <w:sz w:val="24"/>
        </w:rPr>
        <w:t>3</w:t>
      </w:r>
      <w:r w:rsidRPr="008E7EDF">
        <w:rPr>
          <w:rFonts w:hint="eastAsia"/>
          <w:sz w:val="24"/>
        </w:rPr>
        <w:t>）根据基金的过往业绩情况进行打分</w:t>
      </w:r>
    </w:p>
    <w:p w:rsidR="00984F29" w:rsidRPr="007B14D9" w:rsidRDefault="00720366" w:rsidP="00720366">
      <w:pPr>
        <w:spacing w:line="360" w:lineRule="auto"/>
        <w:ind w:firstLineChars="200" w:firstLine="480"/>
        <w:rPr>
          <w:sz w:val="24"/>
        </w:rPr>
      </w:pPr>
      <w:r w:rsidRPr="007B14D9">
        <w:rPr>
          <w:rFonts w:hint="eastAsia"/>
          <w:sz w:val="24"/>
        </w:rPr>
        <w:t>基金最近一年业绩在同类型基金中后</w:t>
      </w:r>
      <w:r w:rsidRPr="007B14D9">
        <w:rPr>
          <w:rFonts w:hint="eastAsia"/>
          <w:sz w:val="24"/>
        </w:rPr>
        <w:t>50%</w:t>
      </w:r>
      <w:r w:rsidRPr="007B14D9">
        <w:rPr>
          <w:rFonts w:hint="eastAsia"/>
          <w:sz w:val="24"/>
        </w:rPr>
        <w:t>，风险评价得分为</w:t>
      </w:r>
      <w:r w:rsidRPr="007B14D9">
        <w:rPr>
          <w:rFonts w:hint="eastAsia"/>
          <w:sz w:val="24"/>
        </w:rPr>
        <w:t>1</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基金最近一年业绩在同类型基金中前</w:t>
      </w:r>
      <w:r w:rsidRPr="007B14D9">
        <w:rPr>
          <w:rFonts w:hint="eastAsia"/>
          <w:sz w:val="24"/>
        </w:rPr>
        <w:t>50%</w:t>
      </w:r>
      <w:r w:rsidRPr="007B14D9">
        <w:rPr>
          <w:rFonts w:hint="eastAsia"/>
          <w:sz w:val="24"/>
        </w:rPr>
        <w:t>，风险评价得分为</w:t>
      </w:r>
      <w:r w:rsidRPr="007B14D9">
        <w:rPr>
          <w:rFonts w:hint="eastAsia"/>
          <w:sz w:val="24"/>
        </w:rPr>
        <w:t>0</w:t>
      </w:r>
      <w:r w:rsidRPr="007B14D9">
        <w:rPr>
          <w:rFonts w:hint="eastAsia"/>
          <w:sz w:val="24"/>
        </w:rPr>
        <w:t>分。</w:t>
      </w:r>
    </w:p>
    <w:p w:rsidR="00720366" w:rsidRPr="008E7EDF" w:rsidRDefault="00720366" w:rsidP="000C1F1F">
      <w:pPr>
        <w:spacing w:line="360" w:lineRule="auto"/>
        <w:ind w:firstLineChars="200" w:firstLine="480"/>
        <w:rPr>
          <w:sz w:val="24"/>
        </w:rPr>
      </w:pPr>
      <w:r w:rsidRPr="008E7EDF">
        <w:rPr>
          <w:rFonts w:hint="eastAsia"/>
          <w:sz w:val="24"/>
        </w:rPr>
        <w:t>（</w:t>
      </w:r>
      <w:r w:rsidRPr="008E7EDF">
        <w:rPr>
          <w:rFonts w:hint="eastAsia"/>
          <w:sz w:val="24"/>
        </w:rPr>
        <w:t>4</w:t>
      </w:r>
      <w:r w:rsidRPr="008E7EDF">
        <w:rPr>
          <w:rFonts w:hint="eastAsia"/>
          <w:sz w:val="24"/>
        </w:rPr>
        <w:t>）根据基金的业绩波动情况进行打分</w:t>
      </w:r>
    </w:p>
    <w:p w:rsidR="00720366" w:rsidRPr="007B14D9" w:rsidRDefault="00720366" w:rsidP="00720366">
      <w:pPr>
        <w:spacing w:line="360" w:lineRule="auto"/>
        <w:ind w:firstLineChars="200" w:firstLine="480"/>
        <w:rPr>
          <w:sz w:val="24"/>
        </w:rPr>
      </w:pPr>
      <w:r w:rsidRPr="007B14D9">
        <w:rPr>
          <w:rFonts w:hint="eastAsia"/>
          <w:sz w:val="24"/>
        </w:rPr>
        <w:t>基金最近一年净值波动率在同类型基金中前</w:t>
      </w:r>
      <w:r w:rsidRPr="007B14D9">
        <w:rPr>
          <w:rFonts w:hint="eastAsia"/>
          <w:sz w:val="24"/>
        </w:rPr>
        <w:t>50%</w:t>
      </w:r>
      <w:r w:rsidRPr="007B14D9">
        <w:rPr>
          <w:rFonts w:hint="eastAsia"/>
          <w:sz w:val="24"/>
        </w:rPr>
        <w:t>，风险评价得分为</w:t>
      </w:r>
      <w:r w:rsidRPr="007B14D9">
        <w:rPr>
          <w:rFonts w:hint="eastAsia"/>
          <w:sz w:val="24"/>
        </w:rPr>
        <w:t>1</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基金最近一年净值波动率在同类型基金中后</w:t>
      </w:r>
      <w:r w:rsidRPr="007B14D9">
        <w:rPr>
          <w:rFonts w:hint="eastAsia"/>
          <w:sz w:val="24"/>
        </w:rPr>
        <w:t>50%</w:t>
      </w:r>
      <w:r w:rsidRPr="007B14D9">
        <w:rPr>
          <w:rFonts w:hint="eastAsia"/>
          <w:sz w:val="24"/>
        </w:rPr>
        <w:t>，风险评价得分为</w:t>
      </w:r>
      <w:r w:rsidRPr="007B14D9">
        <w:rPr>
          <w:rFonts w:hint="eastAsia"/>
          <w:sz w:val="24"/>
        </w:rPr>
        <w:t>0</w:t>
      </w:r>
      <w:r w:rsidRPr="007B14D9">
        <w:rPr>
          <w:rFonts w:hint="eastAsia"/>
          <w:sz w:val="24"/>
        </w:rPr>
        <w:t>分</w:t>
      </w:r>
      <w:r w:rsidR="006E12BC">
        <w:rPr>
          <w:rFonts w:hint="eastAsia"/>
          <w:sz w:val="24"/>
        </w:rPr>
        <w:t>。</w:t>
      </w:r>
    </w:p>
    <w:p w:rsidR="00720366" w:rsidRPr="008E7EDF" w:rsidRDefault="00720366" w:rsidP="000C1F1F">
      <w:pPr>
        <w:spacing w:line="360" w:lineRule="auto"/>
        <w:ind w:firstLineChars="200" w:firstLine="480"/>
        <w:rPr>
          <w:sz w:val="24"/>
        </w:rPr>
      </w:pPr>
      <w:r w:rsidRPr="008E7EDF">
        <w:rPr>
          <w:rFonts w:hint="eastAsia"/>
          <w:sz w:val="24"/>
        </w:rPr>
        <w:t>（</w:t>
      </w:r>
      <w:r w:rsidRPr="008E7EDF">
        <w:rPr>
          <w:rFonts w:hint="eastAsia"/>
          <w:sz w:val="24"/>
        </w:rPr>
        <w:t>5</w:t>
      </w:r>
      <w:r w:rsidRPr="008E7EDF">
        <w:rPr>
          <w:rFonts w:hint="eastAsia"/>
          <w:sz w:val="24"/>
        </w:rPr>
        <w:t>）根据基金过去一年</w:t>
      </w:r>
      <w:r w:rsidR="001701DC">
        <w:rPr>
          <w:rFonts w:hint="eastAsia"/>
          <w:sz w:val="24"/>
        </w:rPr>
        <w:t>季报披露</w:t>
      </w:r>
      <w:r w:rsidRPr="008E7EDF">
        <w:rPr>
          <w:rFonts w:hint="eastAsia"/>
          <w:sz w:val="24"/>
        </w:rPr>
        <w:t>股票持仓比例</w:t>
      </w:r>
      <w:r w:rsidR="001701DC" w:rsidRPr="008E7EDF">
        <w:rPr>
          <w:rFonts w:hint="eastAsia"/>
          <w:sz w:val="24"/>
        </w:rPr>
        <w:t>平均</w:t>
      </w:r>
      <w:r w:rsidR="001701DC">
        <w:rPr>
          <w:rFonts w:hint="eastAsia"/>
          <w:sz w:val="24"/>
        </w:rPr>
        <w:t>值</w:t>
      </w:r>
      <w:r w:rsidRPr="008E7EDF">
        <w:rPr>
          <w:rFonts w:hint="eastAsia"/>
          <w:sz w:val="24"/>
        </w:rPr>
        <w:t>进行打分</w:t>
      </w:r>
    </w:p>
    <w:p w:rsidR="00720366" w:rsidRPr="007B14D9" w:rsidRDefault="00720366" w:rsidP="00720366">
      <w:pPr>
        <w:spacing w:line="360" w:lineRule="auto"/>
        <w:ind w:firstLineChars="200" w:firstLine="480"/>
        <w:rPr>
          <w:sz w:val="24"/>
        </w:rPr>
      </w:pPr>
      <w:r w:rsidRPr="007B14D9">
        <w:rPr>
          <w:rFonts w:hint="eastAsia"/>
          <w:sz w:val="24"/>
        </w:rPr>
        <w:t>75%</w:t>
      </w:r>
      <w:r w:rsidRPr="007B14D9">
        <w:rPr>
          <w:rFonts w:ascii="宋体" w:hAnsi="宋体" w:hint="eastAsia"/>
          <w:sz w:val="24"/>
        </w:rPr>
        <w:t>﹤</w:t>
      </w:r>
      <w:r w:rsidRPr="007B14D9">
        <w:rPr>
          <w:rFonts w:hint="eastAsia"/>
          <w:sz w:val="24"/>
        </w:rPr>
        <w:t>股票持仓</w:t>
      </w:r>
      <w:r w:rsidR="001701DC">
        <w:rPr>
          <w:rFonts w:hint="eastAsia"/>
          <w:sz w:val="24"/>
        </w:rPr>
        <w:t>均值</w:t>
      </w:r>
      <w:r w:rsidRPr="007B14D9">
        <w:rPr>
          <w:rFonts w:ascii="宋体" w:hAnsi="宋体" w:hint="eastAsia"/>
          <w:sz w:val="24"/>
        </w:rPr>
        <w:t>≤</w:t>
      </w:r>
      <w:r w:rsidRPr="007B14D9">
        <w:rPr>
          <w:rFonts w:hint="eastAsia"/>
          <w:sz w:val="24"/>
        </w:rPr>
        <w:t>100%</w:t>
      </w:r>
      <w:r w:rsidRPr="007B14D9">
        <w:rPr>
          <w:rFonts w:hint="eastAsia"/>
          <w:sz w:val="24"/>
        </w:rPr>
        <w:t>，风险评价得分为</w:t>
      </w:r>
      <w:r w:rsidRPr="007B14D9">
        <w:rPr>
          <w:rFonts w:hint="eastAsia"/>
          <w:sz w:val="24"/>
        </w:rPr>
        <w:t>3</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50%</w:t>
      </w:r>
      <w:r w:rsidRPr="007B14D9">
        <w:rPr>
          <w:rFonts w:ascii="宋体" w:hAnsi="宋体" w:hint="eastAsia"/>
          <w:sz w:val="24"/>
        </w:rPr>
        <w:t>﹤</w:t>
      </w:r>
      <w:r w:rsidRPr="007B14D9">
        <w:rPr>
          <w:rFonts w:hint="eastAsia"/>
          <w:sz w:val="24"/>
        </w:rPr>
        <w:t>股票持仓</w:t>
      </w:r>
      <w:r w:rsidR="001701DC">
        <w:rPr>
          <w:rFonts w:hint="eastAsia"/>
          <w:sz w:val="24"/>
        </w:rPr>
        <w:t>均值</w:t>
      </w:r>
      <w:r w:rsidRPr="007B14D9">
        <w:rPr>
          <w:rFonts w:ascii="宋体" w:hAnsi="宋体" w:hint="eastAsia"/>
          <w:sz w:val="24"/>
        </w:rPr>
        <w:t>≤</w:t>
      </w:r>
      <w:r w:rsidRPr="007B14D9">
        <w:rPr>
          <w:rFonts w:hint="eastAsia"/>
          <w:sz w:val="24"/>
        </w:rPr>
        <w:t>75%</w:t>
      </w:r>
      <w:r w:rsidRPr="007B14D9">
        <w:rPr>
          <w:rFonts w:hint="eastAsia"/>
          <w:sz w:val="24"/>
        </w:rPr>
        <w:t>，风险评价得分为</w:t>
      </w:r>
      <w:r w:rsidRPr="007B14D9">
        <w:rPr>
          <w:rFonts w:hint="eastAsia"/>
          <w:sz w:val="24"/>
        </w:rPr>
        <w:t>2</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25%</w:t>
      </w:r>
      <w:r w:rsidRPr="007B14D9">
        <w:rPr>
          <w:rFonts w:ascii="宋体" w:hAnsi="宋体" w:hint="eastAsia"/>
          <w:sz w:val="24"/>
        </w:rPr>
        <w:t>﹤</w:t>
      </w:r>
      <w:r w:rsidRPr="007B14D9">
        <w:rPr>
          <w:rFonts w:hint="eastAsia"/>
          <w:sz w:val="24"/>
        </w:rPr>
        <w:t>股票持仓</w:t>
      </w:r>
      <w:r w:rsidR="001701DC">
        <w:rPr>
          <w:rFonts w:hint="eastAsia"/>
          <w:sz w:val="24"/>
        </w:rPr>
        <w:t>均值</w:t>
      </w:r>
      <w:r w:rsidRPr="007B14D9">
        <w:rPr>
          <w:rFonts w:ascii="宋体" w:hAnsi="宋体" w:hint="eastAsia"/>
          <w:sz w:val="24"/>
        </w:rPr>
        <w:t>≤</w:t>
      </w:r>
      <w:r w:rsidRPr="007B14D9">
        <w:rPr>
          <w:rFonts w:hint="eastAsia"/>
          <w:sz w:val="24"/>
        </w:rPr>
        <w:t>50%</w:t>
      </w:r>
      <w:r w:rsidRPr="007B14D9">
        <w:rPr>
          <w:rFonts w:hint="eastAsia"/>
          <w:sz w:val="24"/>
        </w:rPr>
        <w:t>，风险评价得分为</w:t>
      </w:r>
      <w:r w:rsidRPr="007B14D9">
        <w:rPr>
          <w:rFonts w:hint="eastAsia"/>
          <w:sz w:val="24"/>
        </w:rPr>
        <w:t>1</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股票持仓</w:t>
      </w:r>
      <w:r w:rsidR="0068258E">
        <w:rPr>
          <w:rFonts w:hint="eastAsia"/>
          <w:sz w:val="24"/>
        </w:rPr>
        <w:t>均值</w:t>
      </w:r>
      <w:r w:rsidRPr="007B14D9">
        <w:rPr>
          <w:rFonts w:ascii="宋体" w:hAnsi="宋体" w:hint="eastAsia"/>
          <w:sz w:val="24"/>
        </w:rPr>
        <w:t>≤</w:t>
      </w:r>
      <w:r w:rsidRPr="007B14D9">
        <w:rPr>
          <w:rFonts w:hint="eastAsia"/>
          <w:sz w:val="24"/>
        </w:rPr>
        <w:t>25%</w:t>
      </w:r>
      <w:r w:rsidRPr="007B14D9">
        <w:rPr>
          <w:rFonts w:hint="eastAsia"/>
          <w:sz w:val="24"/>
        </w:rPr>
        <w:t>，风险评价得分为</w:t>
      </w:r>
      <w:r w:rsidRPr="007B14D9">
        <w:rPr>
          <w:rFonts w:hint="eastAsia"/>
          <w:sz w:val="24"/>
        </w:rPr>
        <w:t>0</w:t>
      </w:r>
      <w:r w:rsidRPr="007B14D9">
        <w:rPr>
          <w:rFonts w:hint="eastAsia"/>
          <w:sz w:val="24"/>
        </w:rPr>
        <w:t>分。</w:t>
      </w:r>
    </w:p>
    <w:p w:rsidR="00720366" w:rsidRPr="008E7EDF" w:rsidRDefault="00720366" w:rsidP="000C1F1F">
      <w:pPr>
        <w:spacing w:line="360" w:lineRule="auto"/>
        <w:ind w:firstLineChars="200" w:firstLine="480"/>
        <w:rPr>
          <w:sz w:val="24"/>
        </w:rPr>
      </w:pPr>
      <w:r w:rsidRPr="008E7EDF">
        <w:rPr>
          <w:rFonts w:hint="eastAsia"/>
          <w:sz w:val="24"/>
        </w:rPr>
        <w:t>3</w:t>
      </w:r>
      <w:r w:rsidRPr="008E7EDF">
        <w:rPr>
          <w:rFonts w:hint="eastAsia"/>
          <w:sz w:val="24"/>
        </w:rPr>
        <w:t>．管理人在进行风险评级时，可综合产品的以下因素，根据具体情况</w:t>
      </w:r>
      <w:r w:rsidR="007F62CA" w:rsidRPr="008E7EDF">
        <w:rPr>
          <w:rFonts w:hint="eastAsia"/>
          <w:sz w:val="24"/>
        </w:rPr>
        <w:t>给予</w:t>
      </w:r>
      <w:r w:rsidRPr="008E7EDF">
        <w:rPr>
          <w:rFonts w:hint="eastAsia"/>
          <w:sz w:val="24"/>
        </w:rPr>
        <w:t>风险</w:t>
      </w:r>
      <w:r w:rsidR="002A09F6" w:rsidRPr="008E7EDF">
        <w:rPr>
          <w:rFonts w:hint="eastAsia"/>
          <w:sz w:val="24"/>
        </w:rPr>
        <w:t>附</w:t>
      </w:r>
      <w:r w:rsidRPr="008E7EDF">
        <w:rPr>
          <w:rFonts w:hint="eastAsia"/>
          <w:sz w:val="24"/>
        </w:rPr>
        <w:t>加分：</w:t>
      </w:r>
    </w:p>
    <w:p w:rsidR="00720366" w:rsidRPr="008E7EDF" w:rsidRDefault="00720366" w:rsidP="008E7EDF">
      <w:pPr>
        <w:spacing w:line="360" w:lineRule="auto"/>
        <w:ind w:firstLineChars="200" w:firstLine="480"/>
        <w:rPr>
          <w:sz w:val="24"/>
        </w:rPr>
      </w:pPr>
      <w:r w:rsidRPr="008E7EDF">
        <w:rPr>
          <w:rFonts w:hint="eastAsia"/>
          <w:sz w:val="24"/>
        </w:rPr>
        <w:t>A</w:t>
      </w:r>
      <w:r w:rsidRPr="008E7EDF">
        <w:rPr>
          <w:rFonts w:hint="eastAsia"/>
          <w:sz w:val="24"/>
        </w:rPr>
        <w:t>、发行人等相关主体的信用状况；</w:t>
      </w:r>
    </w:p>
    <w:p w:rsidR="00720366" w:rsidRPr="008E7EDF" w:rsidRDefault="002A09F6" w:rsidP="008E7EDF">
      <w:pPr>
        <w:spacing w:line="360" w:lineRule="auto"/>
        <w:ind w:firstLineChars="200" w:firstLine="480"/>
        <w:rPr>
          <w:sz w:val="24"/>
        </w:rPr>
      </w:pPr>
      <w:r w:rsidRPr="008E7EDF">
        <w:rPr>
          <w:rFonts w:hint="eastAsia"/>
          <w:sz w:val="24"/>
        </w:rPr>
        <w:t>B</w:t>
      </w:r>
      <w:r w:rsidR="00720366" w:rsidRPr="008E7EDF">
        <w:rPr>
          <w:rFonts w:hint="eastAsia"/>
          <w:sz w:val="24"/>
        </w:rPr>
        <w:t>、存在本金损失的可能性，因杠杆交易等因素容易导致本金大部分或者全部损失的基金；</w:t>
      </w:r>
    </w:p>
    <w:p w:rsidR="00720366" w:rsidRPr="008E7EDF" w:rsidRDefault="002A09F6" w:rsidP="00720366">
      <w:pPr>
        <w:spacing w:line="360" w:lineRule="auto"/>
        <w:ind w:firstLine="420"/>
        <w:rPr>
          <w:sz w:val="24"/>
        </w:rPr>
      </w:pPr>
      <w:r w:rsidRPr="008E7EDF">
        <w:rPr>
          <w:rFonts w:hint="eastAsia"/>
          <w:sz w:val="24"/>
        </w:rPr>
        <w:t>C</w:t>
      </w:r>
      <w:r w:rsidR="00720366" w:rsidRPr="008E7EDF">
        <w:rPr>
          <w:rFonts w:hint="eastAsia"/>
          <w:sz w:val="24"/>
        </w:rPr>
        <w:t>、</w:t>
      </w:r>
      <w:r w:rsidR="00591AD5" w:rsidRPr="008E7EDF">
        <w:rPr>
          <w:rFonts w:hint="eastAsia"/>
          <w:sz w:val="24"/>
        </w:rPr>
        <w:t>基金</w:t>
      </w:r>
      <w:r w:rsidR="00720366" w:rsidRPr="008E7EDF">
        <w:rPr>
          <w:rFonts w:hint="eastAsia"/>
          <w:sz w:val="24"/>
        </w:rPr>
        <w:t>变现能力差，因无公开交易市场、参与投资者少等因素导致难以在短期内以合理价格顺利变现的基金；</w:t>
      </w:r>
    </w:p>
    <w:p w:rsidR="00591AD5" w:rsidRPr="008E7EDF" w:rsidRDefault="00591AD5" w:rsidP="00720366">
      <w:pPr>
        <w:spacing w:line="360" w:lineRule="auto"/>
        <w:ind w:firstLine="420"/>
        <w:rPr>
          <w:sz w:val="24"/>
        </w:rPr>
      </w:pPr>
      <w:r w:rsidRPr="008E7EDF">
        <w:rPr>
          <w:rFonts w:hint="eastAsia"/>
          <w:sz w:val="24"/>
        </w:rPr>
        <w:t>D</w:t>
      </w:r>
      <w:r w:rsidRPr="008E7EDF">
        <w:rPr>
          <w:rFonts w:hint="eastAsia"/>
          <w:sz w:val="24"/>
        </w:rPr>
        <w:t>、标的流动性差及不易估值，因投资标的流动性差，存在非标准资产投资导致不易估值的基金</w:t>
      </w:r>
      <w:r w:rsidR="0021107F" w:rsidRPr="008E7EDF">
        <w:rPr>
          <w:rFonts w:hint="eastAsia"/>
          <w:sz w:val="24"/>
        </w:rPr>
        <w:t>；</w:t>
      </w:r>
    </w:p>
    <w:p w:rsidR="00720366" w:rsidRPr="008E7EDF" w:rsidRDefault="00720366" w:rsidP="008E7EDF">
      <w:pPr>
        <w:spacing w:line="360" w:lineRule="auto"/>
        <w:ind w:firstLineChars="200" w:firstLine="480"/>
        <w:rPr>
          <w:sz w:val="24"/>
        </w:rPr>
      </w:pPr>
      <w:r w:rsidRPr="008E7EDF">
        <w:rPr>
          <w:rFonts w:hint="eastAsia"/>
          <w:sz w:val="24"/>
        </w:rPr>
        <w:t>E</w:t>
      </w:r>
      <w:r w:rsidRPr="008E7EDF">
        <w:rPr>
          <w:rFonts w:hint="eastAsia"/>
          <w:sz w:val="24"/>
        </w:rPr>
        <w:t>、可理解性差，</w:t>
      </w:r>
      <w:r w:rsidR="00591AD5" w:rsidRPr="008E7EDF">
        <w:rPr>
          <w:rFonts w:hint="eastAsia"/>
          <w:sz w:val="24"/>
        </w:rPr>
        <w:t>因合同表述复杂，存在免责条款、结构性安排、投资标的具有衍生品性质等，导致普通投资者难以理解</w:t>
      </w:r>
      <w:r w:rsidRPr="008E7EDF">
        <w:rPr>
          <w:rFonts w:hint="eastAsia"/>
          <w:sz w:val="24"/>
        </w:rPr>
        <w:t>的基金；</w:t>
      </w:r>
    </w:p>
    <w:p w:rsidR="00591AD5" w:rsidRPr="008E7EDF" w:rsidRDefault="00591AD5" w:rsidP="008E7EDF">
      <w:pPr>
        <w:spacing w:line="360" w:lineRule="auto"/>
        <w:ind w:firstLineChars="200" w:firstLine="480"/>
        <w:rPr>
          <w:sz w:val="24"/>
        </w:rPr>
      </w:pPr>
      <w:r w:rsidRPr="008E7EDF">
        <w:rPr>
          <w:rFonts w:hint="eastAsia"/>
          <w:sz w:val="24"/>
        </w:rPr>
        <w:t>F</w:t>
      </w:r>
      <w:r w:rsidRPr="008E7EDF">
        <w:rPr>
          <w:rFonts w:hint="eastAsia"/>
          <w:sz w:val="24"/>
        </w:rPr>
        <w:t>、</w:t>
      </w:r>
      <w:r w:rsidR="00BD10F5" w:rsidRPr="008E7EDF">
        <w:rPr>
          <w:rFonts w:hint="eastAsia"/>
          <w:sz w:val="24"/>
        </w:rPr>
        <w:t>杠杆及集中度</w:t>
      </w:r>
      <w:r w:rsidRPr="008E7EDF">
        <w:rPr>
          <w:rFonts w:hint="eastAsia"/>
          <w:sz w:val="24"/>
        </w:rPr>
        <w:t>，因投资杠杆达到相关要求上线、投资单一标的集中度过高的基金</w:t>
      </w:r>
      <w:r w:rsidR="0021107F" w:rsidRPr="008E7EDF">
        <w:rPr>
          <w:rFonts w:hint="eastAsia"/>
          <w:sz w:val="24"/>
        </w:rPr>
        <w:t>；</w:t>
      </w:r>
    </w:p>
    <w:p w:rsidR="00720366" w:rsidRPr="008E7EDF" w:rsidRDefault="00591AD5" w:rsidP="008E7EDF">
      <w:pPr>
        <w:spacing w:line="360" w:lineRule="auto"/>
        <w:ind w:firstLineChars="200" w:firstLine="480"/>
        <w:rPr>
          <w:sz w:val="24"/>
        </w:rPr>
      </w:pPr>
      <w:r w:rsidRPr="008E7EDF">
        <w:rPr>
          <w:rFonts w:hint="eastAsia"/>
          <w:sz w:val="24"/>
        </w:rPr>
        <w:t>G</w:t>
      </w:r>
      <w:r w:rsidR="00720366" w:rsidRPr="008E7EDF">
        <w:rPr>
          <w:rFonts w:hint="eastAsia"/>
          <w:sz w:val="24"/>
        </w:rPr>
        <w:t>、跨境因素，存在市场差异、适用境外法律等情形的跨境发行或者交易的基金；</w:t>
      </w:r>
    </w:p>
    <w:p w:rsidR="0021107F" w:rsidRPr="008E7EDF" w:rsidRDefault="0021107F" w:rsidP="008E7EDF">
      <w:pPr>
        <w:spacing w:line="360" w:lineRule="auto"/>
        <w:ind w:firstLineChars="200" w:firstLine="480"/>
        <w:rPr>
          <w:sz w:val="24"/>
        </w:rPr>
      </w:pPr>
      <w:r w:rsidRPr="008E7EDF">
        <w:rPr>
          <w:rFonts w:hint="eastAsia"/>
          <w:sz w:val="24"/>
        </w:rPr>
        <w:t>H</w:t>
      </w:r>
      <w:r w:rsidRPr="008E7EDF">
        <w:rPr>
          <w:rFonts w:hint="eastAsia"/>
          <w:sz w:val="24"/>
        </w:rPr>
        <w:t>、募集方式，服务规模过大，影响面广，可能触发巨额赎回，易引发群体性事件的基金；</w:t>
      </w:r>
    </w:p>
    <w:p w:rsidR="00591AD5" w:rsidRPr="008E7EDF" w:rsidRDefault="0021107F" w:rsidP="008E7EDF">
      <w:pPr>
        <w:spacing w:line="360" w:lineRule="auto"/>
        <w:ind w:firstLineChars="200" w:firstLine="480"/>
        <w:rPr>
          <w:sz w:val="24"/>
        </w:rPr>
      </w:pPr>
      <w:r w:rsidRPr="008E7EDF">
        <w:rPr>
          <w:rFonts w:hint="eastAsia"/>
          <w:sz w:val="24"/>
        </w:rPr>
        <w:t>I</w:t>
      </w:r>
      <w:r w:rsidR="00591AD5" w:rsidRPr="008E7EDF">
        <w:rPr>
          <w:rFonts w:hint="eastAsia"/>
          <w:sz w:val="24"/>
        </w:rPr>
        <w:t>、管理人合规性，因基金管理人、实际控制人、高管人员涉嫌重大违法违</w:t>
      </w:r>
      <w:r w:rsidR="00591AD5" w:rsidRPr="008E7EDF">
        <w:rPr>
          <w:rFonts w:hint="eastAsia"/>
          <w:sz w:val="24"/>
        </w:rPr>
        <w:lastRenderedPageBreak/>
        <w:t>规行为或正在接受监管部门或自律管理部门调查的基金；</w:t>
      </w:r>
    </w:p>
    <w:p w:rsidR="00591AD5" w:rsidRPr="008E7EDF" w:rsidRDefault="0021107F" w:rsidP="008E7EDF">
      <w:pPr>
        <w:spacing w:line="360" w:lineRule="auto"/>
        <w:ind w:firstLineChars="200" w:firstLine="480"/>
        <w:rPr>
          <w:sz w:val="24"/>
        </w:rPr>
      </w:pPr>
      <w:r w:rsidRPr="008E7EDF">
        <w:rPr>
          <w:rFonts w:hint="eastAsia"/>
          <w:sz w:val="24"/>
        </w:rPr>
        <w:t>J</w:t>
      </w:r>
      <w:r w:rsidR="00591AD5" w:rsidRPr="008E7EDF">
        <w:rPr>
          <w:rFonts w:hint="eastAsia"/>
          <w:sz w:val="24"/>
        </w:rPr>
        <w:t>、重大关联交易，发生重大关联交易事项的基金</w:t>
      </w:r>
      <w:r w:rsidRPr="008E7EDF">
        <w:rPr>
          <w:rFonts w:hint="eastAsia"/>
          <w:sz w:val="24"/>
        </w:rPr>
        <w:t>；</w:t>
      </w:r>
    </w:p>
    <w:p w:rsidR="00720366" w:rsidRPr="007B14D9" w:rsidRDefault="0021107F" w:rsidP="00720366">
      <w:pPr>
        <w:spacing w:line="360" w:lineRule="auto"/>
        <w:ind w:firstLineChars="200" w:firstLine="480"/>
        <w:rPr>
          <w:sz w:val="24"/>
        </w:rPr>
      </w:pPr>
      <w:r>
        <w:rPr>
          <w:rFonts w:hint="eastAsia"/>
          <w:sz w:val="24"/>
        </w:rPr>
        <w:t>K</w:t>
      </w:r>
      <w:r w:rsidR="00720366" w:rsidRPr="007B14D9">
        <w:rPr>
          <w:rFonts w:hint="eastAsia"/>
          <w:sz w:val="24"/>
        </w:rPr>
        <w:t>、自律组织认定的高风险基金；</w:t>
      </w:r>
    </w:p>
    <w:p w:rsidR="00720366" w:rsidRPr="007B14D9" w:rsidRDefault="0021107F" w:rsidP="00720366">
      <w:pPr>
        <w:spacing w:line="360" w:lineRule="auto"/>
        <w:ind w:firstLineChars="200" w:firstLine="480"/>
        <w:rPr>
          <w:sz w:val="24"/>
        </w:rPr>
      </w:pPr>
      <w:r>
        <w:rPr>
          <w:rFonts w:hint="eastAsia"/>
          <w:sz w:val="24"/>
        </w:rPr>
        <w:t>L</w:t>
      </w:r>
      <w:r w:rsidR="00720366" w:rsidRPr="007B14D9">
        <w:rPr>
          <w:rFonts w:hint="eastAsia"/>
          <w:sz w:val="24"/>
        </w:rPr>
        <w:t>、其他</w:t>
      </w:r>
      <w:r w:rsidR="007F62CA" w:rsidRPr="007B14D9">
        <w:rPr>
          <w:rFonts w:hint="eastAsia"/>
          <w:sz w:val="24"/>
        </w:rPr>
        <w:t>基金的特定安排</w:t>
      </w:r>
      <w:r w:rsidR="00720366" w:rsidRPr="007B14D9">
        <w:rPr>
          <w:rFonts w:hint="eastAsia"/>
          <w:sz w:val="24"/>
        </w:rPr>
        <w:t>有可能</w:t>
      </w:r>
      <w:r w:rsidR="008D48E6" w:rsidRPr="000C1F1F">
        <w:rPr>
          <w:rFonts w:ascii="宋体" w:hAnsi="宋体" w:hint="eastAsia"/>
          <w:bCs/>
          <w:sz w:val="24"/>
        </w:rPr>
        <w:t>增加或削弱</w:t>
      </w:r>
      <w:r w:rsidR="00720366" w:rsidRPr="007B14D9">
        <w:rPr>
          <w:rFonts w:hint="eastAsia"/>
          <w:sz w:val="24"/>
        </w:rPr>
        <w:t>投资风险的因素。</w:t>
      </w:r>
    </w:p>
    <w:p w:rsidR="00720366" w:rsidRPr="008E7EDF" w:rsidRDefault="00E45477" w:rsidP="000C1F1F">
      <w:pPr>
        <w:spacing w:line="360" w:lineRule="auto"/>
        <w:ind w:firstLineChars="200" w:firstLine="480"/>
        <w:rPr>
          <w:sz w:val="24"/>
        </w:rPr>
      </w:pPr>
      <w:r w:rsidRPr="008E7EDF">
        <w:rPr>
          <w:rFonts w:hint="eastAsia"/>
          <w:sz w:val="24"/>
        </w:rPr>
        <w:t>4</w:t>
      </w:r>
      <w:r w:rsidR="00720366" w:rsidRPr="008E7EDF">
        <w:rPr>
          <w:rFonts w:hint="eastAsia"/>
          <w:sz w:val="24"/>
        </w:rPr>
        <w:t>．根据基金产品各项风险评价得分加总值，确定风险等级：</w:t>
      </w:r>
    </w:p>
    <w:p w:rsidR="00720366" w:rsidRPr="007B14D9" w:rsidRDefault="00720366" w:rsidP="00720366">
      <w:pPr>
        <w:spacing w:line="360" w:lineRule="auto"/>
        <w:ind w:firstLineChars="200" w:firstLine="480"/>
        <w:rPr>
          <w:sz w:val="24"/>
        </w:rPr>
      </w:pPr>
      <w:r w:rsidRPr="007B14D9">
        <w:rPr>
          <w:rFonts w:hint="eastAsia"/>
          <w:sz w:val="24"/>
        </w:rPr>
        <w:t>（</w:t>
      </w:r>
      <w:r w:rsidRPr="007B14D9">
        <w:rPr>
          <w:rFonts w:hint="eastAsia"/>
          <w:sz w:val="24"/>
        </w:rPr>
        <w:t>1</w:t>
      </w:r>
      <w:r w:rsidRPr="007B14D9">
        <w:rPr>
          <w:rFonts w:hint="eastAsia"/>
          <w:sz w:val="24"/>
        </w:rPr>
        <w:t>）</w:t>
      </w:r>
      <w:r w:rsidR="00563DFD">
        <w:rPr>
          <w:rFonts w:hint="eastAsia"/>
          <w:sz w:val="24"/>
        </w:rPr>
        <w:t>R1</w:t>
      </w:r>
      <w:r w:rsidRPr="007B14D9">
        <w:rPr>
          <w:rFonts w:hint="eastAsia"/>
          <w:sz w:val="24"/>
        </w:rPr>
        <w:t>等级：分值低于</w:t>
      </w:r>
      <w:r w:rsidRPr="007B14D9">
        <w:rPr>
          <w:rFonts w:hint="eastAsia"/>
          <w:sz w:val="24"/>
        </w:rPr>
        <w:t>14</w:t>
      </w:r>
      <w:r w:rsidRPr="007B14D9">
        <w:rPr>
          <w:rFonts w:hint="eastAsia"/>
          <w:sz w:val="24"/>
        </w:rPr>
        <w:t>分（含）；</w:t>
      </w:r>
    </w:p>
    <w:p w:rsidR="00720366" w:rsidRPr="007B14D9" w:rsidRDefault="00720366" w:rsidP="00720366">
      <w:pPr>
        <w:spacing w:line="360" w:lineRule="auto"/>
        <w:ind w:firstLineChars="200" w:firstLine="480"/>
        <w:rPr>
          <w:sz w:val="24"/>
        </w:rPr>
      </w:pPr>
      <w:r w:rsidRPr="007B14D9">
        <w:rPr>
          <w:rFonts w:hint="eastAsia"/>
          <w:sz w:val="24"/>
        </w:rPr>
        <w:t>（</w:t>
      </w:r>
      <w:r w:rsidRPr="007B14D9">
        <w:rPr>
          <w:rFonts w:hint="eastAsia"/>
          <w:sz w:val="24"/>
        </w:rPr>
        <w:t>2</w:t>
      </w:r>
      <w:r w:rsidRPr="007B14D9">
        <w:rPr>
          <w:rFonts w:hint="eastAsia"/>
          <w:sz w:val="24"/>
        </w:rPr>
        <w:t>）</w:t>
      </w:r>
      <w:r w:rsidR="00563DFD">
        <w:rPr>
          <w:rFonts w:hint="eastAsia"/>
          <w:sz w:val="24"/>
        </w:rPr>
        <w:t>R2</w:t>
      </w:r>
      <w:r w:rsidRPr="007B14D9">
        <w:rPr>
          <w:rFonts w:hint="eastAsia"/>
          <w:sz w:val="24"/>
        </w:rPr>
        <w:t>等级：分值介于</w:t>
      </w:r>
      <w:r w:rsidRPr="007B14D9">
        <w:rPr>
          <w:rFonts w:hint="eastAsia"/>
          <w:sz w:val="24"/>
        </w:rPr>
        <w:t>15~29</w:t>
      </w:r>
      <w:r w:rsidRPr="007B14D9">
        <w:rPr>
          <w:rFonts w:hint="eastAsia"/>
          <w:sz w:val="24"/>
        </w:rPr>
        <w:t>分（含）；</w:t>
      </w:r>
    </w:p>
    <w:p w:rsidR="00720366" w:rsidRPr="007B14D9" w:rsidRDefault="00720366" w:rsidP="00720366">
      <w:pPr>
        <w:spacing w:line="360" w:lineRule="auto"/>
        <w:ind w:firstLineChars="200" w:firstLine="480"/>
        <w:rPr>
          <w:sz w:val="24"/>
        </w:rPr>
      </w:pPr>
      <w:r w:rsidRPr="007B14D9">
        <w:rPr>
          <w:rFonts w:hint="eastAsia"/>
          <w:sz w:val="24"/>
        </w:rPr>
        <w:t>（</w:t>
      </w:r>
      <w:r w:rsidR="002A09F6" w:rsidRPr="007B14D9">
        <w:rPr>
          <w:rFonts w:hint="eastAsia"/>
          <w:sz w:val="24"/>
        </w:rPr>
        <w:t>3</w:t>
      </w:r>
      <w:r w:rsidRPr="007B14D9">
        <w:rPr>
          <w:rFonts w:hint="eastAsia"/>
          <w:sz w:val="24"/>
        </w:rPr>
        <w:t>）</w:t>
      </w:r>
      <w:r w:rsidR="00563DFD">
        <w:rPr>
          <w:rFonts w:hint="eastAsia"/>
          <w:sz w:val="24"/>
        </w:rPr>
        <w:t>R3</w:t>
      </w:r>
      <w:r w:rsidRPr="007B14D9">
        <w:rPr>
          <w:rFonts w:hint="eastAsia"/>
          <w:sz w:val="24"/>
        </w:rPr>
        <w:t>等级：分值介于</w:t>
      </w:r>
      <w:r w:rsidRPr="007B14D9">
        <w:rPr>
          <w:rFonts w:hint="eastAsia"/>
          <w:sz w:val="24"/>
        </w:rPr>
        <w:t>30</w:t>
      </w:r>
      <w:r w:rsidRPr="007B14D9">
        <w:rPr>
          <w:rFonts w:hint="eastAsia"/>
          <w:sz w:val="24"/>
        </w:rPr>
        <w:t>～</w:t>
      </w:r>
      <w:r w:rsidRPr="007B14D9">
        <w:rPr>
          <w:rFonts w:hint="eastAsia"/>
          <w:sz w:val="24"/>
        </w:rPr>
        <w:t>44</w:t>
      </w:r>
      <w:r w:rsidRPr="007B14D9">
        <w:rPr>
          <w:rFonts w:hint="eastAsia"/>
          <w:sz w:val="24"/>
        </w:rPr>
        <w:t>分（含）；</w:t>
      </w:r>
    </w:p>
    <w:p w:rsidR="00720366" w:rsidRPr="007B14D9" w:rsidRDefault="00720366" w:rsidP="00720366">
      <w:pPr>
        <w:spacing w:line="360" w:lineRule="auto"/>
        <w:ind w:firstLineChars="200" w:firstLine="480"/>
        <w:rPr>
          <w:sz w:val="24"/>
        </w:rPr>
      </w:pPr>
      <w:r w:rsidRPr="007B14D9">
        <w:rPr>
          <w:rFonts w:hint="eastAsia"/>
          <w:sz w:val="24"/>
        </w:rPr>
        <w:t>（</w:t>
      </w:r>
      <w:r w:rsidR="002A09F6" w:rsidRPr="007B14D9">
        <w:rPr>
          <w:rFonts w:hint="eastAsia"/>
          <w:sz w:val="24"/>
        </w:rPr>
        <w:t>4</w:t>
      </w:r>
      <w:r w:rsidRPr="007B14D9">
        <w:rPr>
          <w:rFonts w:hint="eastAsia"/>
          <w:sz w:val="24"/>
        </w:rPr>
        <w:t>）</w:t>
      </w:r>
      <w:r w:rsidR="00563DFD">
        <w:rPr>
          <w:rFonts w:hint="eastAsia"/>
          <w:sz w:val="24"/>
        </w:rPr>
        <w:t>R4</w:t>
      </w:r>
      <w:r w:rsidRPr="007B14D9">
        <w:rPr>
          <w:rFonts w:hint="eastAsia"/>
          <w:sz w:val="24"/>
        </w:rPr>
        <w:t>等级：分值介于</w:t>
      </w:r>
      <w:r w:rsidRPr="007B14D9">
        <w:rPr>
          <w:rFonts w:hint="eastAsia"/>
          <w:sz w:val="24"/>
        </w:rPr>
        <w:t>45~59</w:t>
      </w:r>
      <w:r w:rsidRPr="007B14D9">
        <w:rPr>
          <w:rFonts w:hint="eastAsia"/>
          <w:sz w:val="24"/>
        </w:rPr>
        <w:t>分（含）；</w:t>
      </w:r>
    </w:p>
    <w:p w:rsidR="00720366" w:rsidRPr="007B14D9" w:rsidRDefault="00720366" w:rsidP="00720366">
      <w:pPr>
        <w:spacing w:line="360" w:lineRule="auto"/>
        <w:ind w:firstLineChars="200" w:firstLine="480"/>
        <w:rPr>
          <w:sz w:val="24"/>
        </w:rPr>
      </w:pPr>
      <w:r w:rsidRPr="007B14D9">
        <w:rPr>
          <w:rFonts w:hint="eastAsia"/>
          <w:sz w:val="24"/>
        </w:rPr>
        <w:t>（</w:t>
      </w:r>
      <w:r w:rsidR="002A09F6" w:rsidRPr="007B14D9">
        <w:rPr>
          <w:rFonts w:hint="eastAsia"/>
          <w:sz w:val="24"/>
        </w:rPr>
        <w:t>5</w:t>
      </w:r>
      <w:r w:rsidRPr="007B14D9">
        <w:rPr>
          <w:rFonts w:hint="eastAsia"/>
          <w:sz w:val="24"/>
        </w:rPr>
        <w:t>）</w:t>
      </w:r>
      <w:r w:rsidR="00563DFD">
        <w:rPr>
          <w:rFonts w:hint="eastAsia"/>
          <w:sz w:val="24"/>
        </w:rPr>
        <w:t>R5</w:t>
      </w:r>
      <w:r w:rsidRPr="007B14D9">
        <w:rPr>
          <w:rFonts w:hint="eastAsia"/>
          <w:sz w:val="24"/>
        </w:rPr>
        <w:t>等级：分值高于</w:t>
      </w:r>
      <w:r w:rsidRPr="007B14D9">
        <w:rPr>
          <w:rFonts w:hint="eastAsia"/>
          <w:sz w:val="24"/>
        </w:rPr>
        <w:t>60</w:t>
      </w:r>
      <w:r w:rsidRPr="007B14D9">
        <w:rPr>
          <w:rFonts w:hint="eastAsia"/>
          <w:sz w:val="24"/>
        </w:rPr>
        <w:t>分（含）。</w:t>
      </w:r>
    </w:p>
    <w:p w:rsidR="002A09F6" w:rsidRPr="008E7EDF" w:rsidRDefault="00E45477" w:rsidP="000C1F1F">
      <w:pPr>
        <w:spacing w:line="360" w:lineRule="auto"/>
        <w:ind w:firstLineChars="200" w:firstLine="480"/>
        <w:rPr>
          <w:sz w:val="24"/>
        </w:rPr>
      </w:pPr>
      <w:r w:rsidRPr="008E7EDF">
        <w:rPr>
          <w:rFonts w:hint="eastAsia"/>
          <w:sz w:val="24"/>
        </w:rPr>
        <w:t>5</w:t>
      </w:r>
      <w:r w:rsidR="002A09F6" w:rsidRPr="008E7EDF">
        <w:rPr>
          <w:rFonts w:hint="eastAsia"/>
          <w:sz w:val="24"/>
        </w:rPr>
        <w:t xml:space="preserve">. </w:t>
      </w:r>
      <w:r w:rsidR="008D48E6" w:rsidRPr="008E7EDF">
        <w:rPr>
          <w:rFonts w:hint="eastAsia"/>
          <w:sz w:val="24"/>
        </w:rPr>
        <w:t>每个公募基金在</w:t>
      </w:r>
      <w:r w:rsidR="002A09F6" w:rsidRPr="008E7EDF">
        <w:rPr>
          <w:rFonts w:hint="eastAsia"/>
          <w:sz w:val="24"/>
        </w:rPr>
        <w:t>上架前，均需用《</w:t>
      </w:r>
      <w:r w:rsidRPr="008E7EDF">
        <w:rPr>
          <w:rFonts w:hint="eastAsia"/>
          <w:sz w:val="24"/>
        </w:rPr>
        <w:t>财通基金</w:t>
      </w:r>
      <w:r w:rsidR="002A09F6" w:rsidRPr="008E7EDF">
        <w:rPr>
          <w:rFonts w:hint="eastAsia"/>
          <w:sz w:val="24"/>
        </w:rPr>
        <w:t>公募基金产品风险评价表》（附件一）对基金产品进行风险评价，并定期对风险评价结果予以更新。</w:t>
      </w:r>
    </w:p>
    <w:p w:rsidR="00720366" w:rsidRPr="007B14D9" w:rsidRDefault="00720366" w:rsidP="002454D1">
      <w:pPr>
        <w:keepNext/>
        <w:keepLines/>
        <w:spacing w:beforeLines="100" w:before="312" w:afterLines="100" w:after="312" w:line="360" w:lineRule="auto"/>
        <w:jc w:val="center"/>
        <w:outlineLvl w:val="1"/>
        <w:rPr>
          <w:rFonts w:ascii="黑体" w:eastAsia="黑体" w:hAnsi="宋体"/>
          <w:bCs/>
          <w:kern w:val="0"/>
          <w:sz w:val="30"/>
          <w:szCs w:val="28"/>
        </w:rPr>
      </w:pPr>
      <w:bookmarkStart w:id="16" w:name="_Toc484028138"/>
      <w:bookmarkStart w:id="17" w:name="_Toc144263973"/>
      <w:bookmarkStart w:id="18" w:name="_Toc300838725"/>
      <w:r w:rsidRPr="007B14D9">
        <w:rPr>
          <w:rFonts w:ascii="黑体" w:eastAsia="黑体" w:hAnsi="宋体" w:hint="eastAsia"/>
          <w:bCs/>
          <w:kern w:val="0"/>
          <w:sz w:val="30"/>
          <w:szCs w:val="28"/>
        </w:rPr>
        <w:t>第四章  专户产品风险评价内容及风险分级</w:t>
      </w:r>
      <w:bookmarkEnd w:id="16"/>
    </w:p>
    <w:p w:rsidR="00F17C41" w:rsidRDefault="00720366" w:rsidP="002454D1">
      <w:pPr>
        <w:spacing w:beforeLines="100" w:before="312" w:line="360" w:lineRule="auto"/>
        <w:ind w:firstLineChars="196" w:firstLine="472"/>
        <w:rPr>
          <w:sz w:val="24"/>
        </w:rPr>
      </w:pPr>
      <w:r w:rsidRPr="007B14D9">
        <w:rPr>
          <w:rFonts w:ascii="宋体" w:hAnsi="宋体" w:hint="eastAsia"/>
          <w:b/>
          <w:sz w:val="24"/>
          <w:szCs w:val="22"/>
        </w:rPr>
        <w:t>第</w:t>
      </w:r>
      <w:r w:rsidR="00472469">
        <w:rPr>
          <w:rFonts w:ascii="宋体" w:hAnsi="宋体" w:hint="eastAsia"/>
          <w:b/>
          <w:sz w:val="24"/>
          <w:szCs w:val="22"/>
        </w:rPr>
        <w:t>七</w:t>
      </w:r>
      <w:r w:rsidRPr="007B14D9">
        <w:rPr>
          <w:rFonts w:ascii="宋体" w:hAnsi="宋体" w:hint="eastAsia"/>
          <w:b/>
          <w:sz w:val="24"/>
          <w:szCs w:val="22"/>
        </w:rPr>
        <w:t>条</w:t>
      </w:r>
      <w:r w:rsidRPr="007B14D9">
        <w:rPr>
          <w:rFonts w:hint="eastAsia"/>
          <w:sz w:val="24"/>
        </w:rPr>
        <w:t xml:space="preserve"> </w:t>
      </w:r>
      <w:r w:rsidRPr="007B14D9">
        <w:rPr>
          <w:rFonts w:hint="eastAsia"/>
          <w:sz w:val="24"/>
        </w:rPr>
        <w:t>专户产品风险评价方法采取定量分析与定性分析相结合的方法，并考虑其他特殊因素</w:t>
      </w:r>
      <w:r w:rsidR="00F94D78" w:rsidRPr="007B14D9">
        <w:rPr>
          <w:rFonts w:hint="eastAsia"/>
          <w:sz w:val="24"/>
        </w:rPr>
        <w:t>的附加影响</w:t>
      </w:r>
      <w:r w:rsidRPr="007B14D9">
        <w:rPr>
          <w:rFonts w:hint="eastAsia"/>
          <w:sz w:val="24"/>
        </w:rPr>
        <w:t>，对专户产品承担的风险进行</w:t>
      </w:r>
      <w:r w:rsidR="00F94D78" w:rsidRPr="007B14D9">
        <w:rPr>
          <w:rFonts w:hint="eastAsia"/>
          <w:sz w:val="24"/>
        </w:rPr>
        <w:t>综合评估和</w:t>
      </w:r>
      <w:r w:rsidRPr="007B14D9">
        <w:rPr>
          <w:rFonts w:hint="eastAsia"/>
          <w:sz w:val="24"/>
        </w:rPr>
        <w:t>分析。风险评价的内容如下：</w:t>
      </w:r>
    </w:p>
    <w:p w:rsidR="00720366" w:rsidRPr="008E7EDF" w:rsidRDefault="00720366" w:rsidP="008E7EDF">
      <w:pPr>
        <w:spacing w:line="360" w:lineRule="auto"/>
        <w:ind w:firstLineChars="200" w:firstLine="480"/>
        <w:rPr>
          <w:rFonts w:asciiTheme="minorEastAsia" w:eastAsiaTheme="minorEastAsia" w:hAnsiTheme="minorEastAsia"/>
          <w:sz w:val="24"/>
        </w:rPr>
      </w:pPr>
      <w:r w:rsidRPr="008E7EDF">
        <w:rPr>
          <w:rFonts w:asciiTheme="minorEastAsia" w:eastAsiaTheme="minorEastAsia" w:hAnsiTheme="minorEastAsia" w:hint="eastAsia"/>
          <w:sz w:val="24"/>
        </w:rPr>
        <w:t>1．定性分析</w:t>
      </w:r>
    </w:p>
    <w:p w:rsidR="00720366" w:rsidRPr="008E7EDF" w:rsidRDefault="00720366" w:rsidP="000C1F1F">
      <w:pPr>
        <w:spacing w:line="360" w:lineRule="auto"/>
        <w:ind w:firstLineChars="200" w:firstLine="480"/>
        <w:rPr>
          <w:sz w:val="24"/>
        </w:rPr>
      </w:pPr>
      <w:r w:rsidRPr="008E7EDF">
        <w:rPr>
          <w:rFonts w:hint="eastAsia"/>
          <w:sz w:val="24"/>
        </w:rPr>
        <w:t>（</w:t>
      </w:r>
      <w:r w:rsidRPr="008E7EDF">
        <w:rPr>
          <w:rFonts w:hint="eastAsia"/>
          <w:sz w:val="24"/>
        </w:rPr>
        <w:t>1</w:t>
      </w:r>
      <w:r w:rsidRPr="008E7EDF">
        <w:rPr>
          <w:rFonts w:hint="eastAsia"/>
          <w:sz w:val="24"/>
        </w:rPr>
        <w:t>）</w:t>
      </w:r>
      <w:r w:rsidR="004375AD" w:rsidRPr="008E7EDF">
        <w:rPr>
          <w:rFonts w:hint="eastAsia"/>
          <w:sz w:val="24"/>
        </w:rPr>
        <w:t>专户</w:t>
      </w:r>
      <w:r w:rsidR="00777BA6" w:rsidRPr="008E7EDF">
        <w:rPr>
          <w:rFonts w:hint="eastAsia"/>
          <w:sz w:val="24"/>
        </w:rPr>
        <w:t>的投资方向和投资范围</w:t>
      </w:r>
    </w:p>
    <w:p w:rsidR="00720366" w:rsidRPr="007B14D9" w:rsidRDefault="00720366" w:rsidP="00720366">
      <w:pPr>
        <w:spacing w:line="360" w:lineRule="auto"/>
        <w:ind w:firstLineChars="200" w:firstLine="480"/>
        <w:rPr>
          <w:sz w:val="24"/>
        </w:rPr>
      </w:pPr>
      <w:r w:rsidRPr="007B14D9">
        <w:rPr>
          <w:rFonts w:hint="eastAsia"/>
          <w:sz w:val="24"/>
        </w:rPr>
        <w:t>根据专户产品的</w:t>
      </w:r>
      <w:r w:rsidRPr="000C1F1F">
        <w:rPr>
          <w:rFonts w:hint="eastAsia"/>
          <w:sz w:val="24"/>
        </w:rPr>
        <w:t>投资方向、投资范围和投资比例</w:t>
      </w:r>
      <w:r w:rsidR="000C1F1F">
        <w:rPr>
          <w:rFonts w:hint="eastAsia"/>
          <w:sz w:val="24"/>
        </w:rPr>
        <w:t>，将专户产品分为</w:t>
      </w:r>
      <w:r w:rsidR="003B2515">
        <w:rPr>
          <w:rFonts w:hint="eastAsia"/>
          <w:sz w:val="24"/>
        </w:rPr>
        <w:t>商品及金融衍生品类、权益类、混合类、固定收益类</w:t>
      </w:r>
      <w:r w:rsidR="00253283">
        <w:rPr>
          <w:rFonts w:hint="eastAsia"/>
          <w:sz w:val="24"/>
        </w:rPr>
        <w:t>I</w:t>
      </w:r>
      <w:r w:rsidR="00253283">
        <w:rPr>
          <w:rFonts w:hint="eastAsia"/>
          <w:sz w:val="24"/>
        </w:rPr>
        <w:t>型</w:t>
      </w:r>
      <w:r w:rsidR="002041F7">
        <w:rPr>
          <w:rFonts w:hint="eastAsia"/>
          <w:sz w:val="24"/>
        </w:rPr>
        <w:t>、固定收益</w:t>
      </w:r>
      <w:r w:rsidR="00253283">
        <w:rPr>
          <w:rFonts w:hint="eastAsia"/>
          <w:sz w:val="24"/>
        </w:rPr>
        <w:t>类</w:t>
      </w:r>
      <w:r w:rsidR="00253283">
        <w:rPr>
          <w:rFonts w:hint="eastAsia"/>
          <w:sz w:val="24"/>
        </w:rPr>
        <w:t>II</w:t>
      </w:r>
      <w:r w:rsidR="00253283">
        <w:rPr>
          <w:rFonts w:hint="eastAsia"/>
          <w:sz w:val="24"/>
        </w:rPr>
        <w:t>型</w:t>
      </w:r>
      <w:r w:rsidRPr="007B14D9">
        <w:rPr>
          <w:rFonts w:hint="eastAsia"/>
          <w:sz w:val="24"/>
        </w:rPr>
        <w:t>等类别。</w:t>
      </w:r>
    </w:p>
    <w:p w:rsidR="00720366" w:rsidRPr="007B14D9" w:rsidRDefault="00720366" w:rsidP="00720366">
      <w:pPr>
        <w:spacing w:line="360" w:lineRule="auto"/>
        <w:ind w:firstLineChars="200" w:firstLine="480"/>
        <w:rPr>
          <w:sz w:val="24"/>
        </w:rPr>
      </w:pPr>
      <w:r w:rsidRPr="007B14D9">
        <w:rPr>
          <w:rFonts w:hint="eastAsia"/>
          <w:sz w:val="24"/>
        </w:rPr>
        <w:t>其中：</w:t>
      </w:r>
    </w:p>
    <w:p w:rsidR="00720366" w:rsidRDefault="003B2515" w:rsidP="00720366">
      <w:pPr>
        <w:spacing w:line="360" w:lineRule="auto"/>
        <w:ind w:firstLineChars="200" w:firstLine="480"/>
        <w:rPr>
          <w:sz w:val="24"/>
        </w:rPr>
      </w:pPr>
      <w:r>
        <w:rPr>
          <w:rFonts w:hint="eastAsia"/>
          <w:sz w:val="24"/>
        </w:rPr>
        <w:t>商品及金融衍生品类专户</w:t>
      </w:r>
      <w:r w:rsidR="00720366" w:rsidRPr="007B14D9">
        <w:rPr>
          <w:rFonts w:hint="eastAsia"/>
          <w:sz w:val="24"/>
        </w:rPr>
        <w:t>，指</w:t>
      </w:r>
      <w:r>
        <w:rPr>
          <w:rFonts w:hint="eastAsia"/>
          <w:sz w:val="24"/>
        </w:rPr>
        <w:t>投资于商品及</w:t>
      </w:r>
      <w:r w:rsidR="00AB1586">
        <w:rPr>
          <w:rFonts w:hint="eastAsia"/>
          <w:sz w:val="24"/>
        </w:rPr>
        <w:t>金融</w:t>
      </w:r>
      <w:r>
        <w:rPr>
          <w:rFonts w:hint="eastAsia"/>
          <w:sz w:val="24"/>
        </w:rPr>
        <w:t>衍生品的比例不低于</w:t>
      </w:r>
      <w:r>
        <w:rPr>
          <w:rFonts w:hint="eastAsia"/>
          <w:sz w:val="24"/>
        </w:rPr>
        <w:t>80%</w:t>
      </w:r>
      <w:r w:rsidR="00720366" w:rsidRPr="007B14D9">
        <w:rPr>
          <w:rFonts w:hint="eastAsia"/>
          <w:sz w:val="24"/>
        </w:rPr>
        <w:t>的专户产品；</w:t>
      </w:r>
    </w:p>
    <w:p w:rsidR="000C1F1F" w:rsidRDefault="003B2515" w:rsidP="00720366">
      <w:pPr>
        <w:spacing w:line="360" w:lineRule="auto"/>
        <w:ind w:firstLineChars="200" w:firstLine="480"/>
        <w:rPr>
          <w:sz w:val="24"/>
        </w:rPr>
      </w:pPr>
      <w:r>
        <w:rPr>
          <w:rFonts w:hint="eastAsia"/>
          <w:sz w:val="24"/>
        </w:rPr>
        <w:t>权益类专户</w:t>
      </w:r>
      <w:r w:rsidR="000C1F1F">
        <w:rPr>
          <w:rFonts w:hint="eastAsia"/>
          <w:sz w:val="24"/>
        </w:rPr>
        <w:t>，指</w:t>
      </w:r>
      <w:r>
        <w:rPr>
          <w:rFonts w:hint="eastAsia"/>
          <w:sz w:val="24"/>
        </w:rPr>
        <w:t>投资于股票等权益类资产的比例不低于</w:t>
      </w:r>
      <w:r>
        <w:rPr>
          <w:rFonts w:hint="eastAsia"/>
          <w:sz w:val="24"/>
        </w:rPr>
        <w:t>80%</w:t>
      </w:r>
      <w:r w:rsidR="000C1F1F">
        <w:rPr>
          <w:rFonts w:hint="eastAsia"/>
          <w:sz w:val="24"/>
        </w:rPr>
        <w:t>的专户产品</w:t>
      </w:r>
      <w:r>
        <w:rPr>
          <w:rFonts w:hint="eastAsia"/>
          <w:sz w:val="24"/>
        </w:rPr>
        <w:t>；</w:t>
      </w:r>
    </w:p>
    <w:p w:rsidR="002041F7" w:rsidRPr="002041F7" w:rsidRDefault="002041F7" w:rsidP="00720366">
      <w:pPr>
        <w:spacing w:line="360" w:lineRule="auto"/>
        <w:ind w:firstLineChars="200" w:firstLine="480"/>
        <w:rPr>
          <w:sz w:val="24"/>
        </w:rPr>
      </w:pPr>
      <w:r>
        <w:rPr>
          <w:rFonts w:hint="eastAsia"/>
          <w:sz w:val="24"/>
        </w:rPr>
        <w:t>固定收益类</w:t>
      </w:r>
      <w:r w:rsidRPr="007B14D9">
        <w:rPr>
          <w:rFonts w:hint="eastAsia"/>
          <w:sz w:val="24"/>
        </w:rPr>
        <w:t>专户，指</w:t>
      </w:r>
      <w:r w:rsidR="0068258E">
        <w:rPr>
          <w:rFonts w:hint="eastAsia"/>
          <w:sz w:val="24"/>
        </w:rPr>
        <w:t>投资于存款、债券等债权</w:t>
      </w:r>
      <w:r>
        <w:rPr>
          <w:rFonts w:hint="eastAsia"/>
          <w:sz w:val="24"/>
        </w:rPr>
        <w:t>类资产的比例不低于</w:t>
      </w:r>
      <w:r>
        <w:rPr>
          <w:rFonts w:hint="eastAsia"/>
          <w:sz w:val="24"/>
        </w:rPr>
        <w:t>80%</w:t>
      </w:r>
      <w:r w:rsidR="00253283">
        <w:rPr>
          <w:rFonts w:hint="eastAsia"/>
          <w:sz w:val="24"/>
        </w:rPr>
        <w:t>的专户产品。其中，固定收益类</w:t>
      </w:r>
      <w:r w:rsidR="00253283">
        <w:rPr>
          <w:rFonts w:hint="eastAsia"/>
          <w:sz w:val="24"/>
        </w:rPr>
        <w:t>I</w:t>
      </w:r>
      <w:r w:rsidR="00253283">
        <w:rPr>
          <w:rFonts w:hint="eastAsia"/>
          <w:sz w:val="24"/>
        </w:rPr>
        <w:t>型指</w:t>
      </w:r>
      <w:r w:rsidR="002C5DE2">
        <w:rPr>
          <w:rFonts w:hint="eastAsia"/>
          <w:sz w:val="24"/>
        </w:rPr>
        <w:t>仅</w:t>
      </w:r>
      <w:r w:rsidR="00253283">
        <w:rPr>
          <w:rFonts w:hint="eastAsia"/>
          <w:sz w:val="24"/>
        </w:rPr>
        <w:t>投资于货币市场工具的专户产品，固定收益类</w:t>
      </w:r>
      <w:r w:rsidR="00253283">
        <w:rPr>
          <w:rFonts w:hint="eastAsia"/>
          <w:sz w:val="24"/>
        </w:rPr>
        <w:t>II</w:t>
      </w:r>
      <w:r w:rsidR="00253283">
        <w:rPr>
          <w:rFonts w:hint="eastAsia"/>
          <w:sz w:val="24"/>
        </w:rPr>
        <w:t>型指不属于固定收益类</w:t>
      </w:r>
      <w:r w:rsidR="00253283">
        <w:rPr>
          <w:rFonts w:hint="eastAsia"/>
          <w:sz w:val="24"/>
        </w:rPr>
        <w:t>I</w:t>
      </w:r>
      <w:r w:rsidR="00253283">
        <w:rPr>
          <w:rFonts w:hint="eastAsia"/>
          <w:sz w:val="24"/>
        </w:rPr>
        <w:t>型的固定收益类专户产品；</w:t>
      </w:r>
    </w:p>
    <w:p w:rsidR="001701DC" w:rsidRPr="007B14D9" w:rsidRDefault="00720366" w:rsidP="00720366">
      <w:pPr>
        <w:spacing w:line="360" w:lineRule="auto"/>
        <w:ind w:firstLineChars="200" w:firstLine="480"/>
        <w:rPr>
          <w:sz w:val="24"/>
        </w:rPr>
      </w:pPr>
      <w:r w:rsidRPr="007B14D9">
        <w:rPr>
          <w:rFonts w:hint="eastAsia"/>
          <w:sz w:val="24"/>
        </w:rPr>
        <w:t>混合</w:t>
      </w:r>
      <w:r w:rsidR="003B2515">
        <w:rPr>
          <w:rFonts w:hint="eastAsia"/>
          <w:sz w:val="24"/>
        </w:rPr>
        <w:t>类</w:t>
      </w:r>
      <w:r w:rsidRPr="007B14D9">
        <w:rPr>
          <w:rFonts w:hint="eastAsia"/>
          <w:sz w:val="24"/>
        </w:rPr>
        <w:t>专户，指</w:t>
      </w:r>
      <w:r w:rsidR="0068258E">
        <w:rPr>
          <w:rFonts w:hint="eastAsia"/>
          <w:sz w:val="24"/>
        </w:rPr>
        <w:t>投资于债权</w:t>
      </w:r>
      <w:r w:rsidR="003B2515">
        <w:rPr>
          <w:rFonts w:hint="eastAsia"/>
          <w:sz w:val="24"/>
        </w:rPr>
        <w:t>类资产、权益类资产、商品及金融衍生品类资产</w:t>
      </w:r>
      <w:r w:rsidR="003B2515">
        <w:rPr>
          <w:rFonts w:hint="eastAsia"/>
          <w:sz w:val="24"/>
        </w:rPr>
        <w:lastRenderedPageBreak/>
        <w:t>且任一资产的投资比例未达到</w:t>
      </w:r>
      <w:r w:rsidR="002041F7">
        <w:rPr>
          <w:rFonts w:hint="eastAsia"/>
          <w:sz w:val="24"/>
        </w:rPr>
        <w:t>前</w:t>
      </w:r>
      <w:r w:rsidR="00253283">
        <w:rPr>
          <w:rFonts w:hint="eastAsia"/>
          <w:sz w:val="24"/>
        </w:rPr>
        <w:t>三</w:t>
      </w:r>
      <w:r w:rsidR="003B2515">
        <w:rPr>
          <w:rFonts w:hint="eastAsia"/>
          <w:sz w:val="24"/>
        </w:rPr>
        <w:t>类产品标准的专户产品</w:t>
      </w:r>
      <w:r w:rsidR="001701DC">
        <w:rPr>
          <w:rFonts w:hint="eastAsia"/>
          <w:sz w:val="24"/>
        </w:rPr>
        <w:t>。</w:t>
      </w:r>
    </w:p>
    <w:p w:rsidR="004375AD" w:rsidRPr="008E7EDF" w:rsidRDefault="004375AD" w:rsidP="000C1F1F">
      <w:pPr>
        <w:spacing w:line="360" w:lineRule="auto"/>
        <w:ind w:firstLineChars="200" w:firstLine="480"/>
        <w:rPr>
          <w:sz w:val="24"/>
        </w:rPr>
      </w:pPr>
      <w:r w:rsidRPr="008E7EDF">
        <w:rPr>
          <w:rFonts w:hint="eastAsia"/>
          <w:sz w:val="24"/>
        </w:rPr>
        <w:t>（</w:t>
      </w:r>
      <w:r w:rsidRPr="008E7EDF">
        <w:rPr>
          <w:rFonts w:hint="eastAsia"/>
          <w:sz w:val="24"/>
        </w:rPr>
        <w:t>2</w:t>
      </w:r>
      <w:r w:rsidR="00CD0DDF" w:rsidRPr="008E7EDF">
        <w:rPr>
          <w:rFonts w:hint="eastAsia"/>
          <w:sz w:val="24"/>
        </w:rPr>
        <w:t>）专户的流动性及到期时限</w:t>
      </w:r>
    </w:p>
    <w:p w:rsidR="004375AD" w:rsidRPr="008E7EDF" w:rsidRDefault="004375AD" w:rsidP="000C1F1F">
      <w:pPr>
        <w:spacing w:line="360" w:lineRule="auto"/>
        <w:ind w:firstLineChars="200" w:firstLine="480"/>
        <w:rPr>
          <w:sz w:val="24"/>
        </w:rPr>
      </w:pPr>
      <w:r w:rsidRPr="008E7EDF">
        <w:rPr>
          <w:rFonts w:hint="eastAsia"/>
          <w:sz w:val="24"/>
        </w:rPr>
        <w:t>（</w:t>
      </w:r>
      <w:r w:rsidRPr="008E7EDF">
        <w:rPr>
          <w:rFonts w:hint="eastAsia"/>
          <w:sz w:val="24"/>
        </w:rPr>
        <w:t>3</w:t>
      </w:r>
      <w:r w:rsidR="00CD0DDF" w:rsidRPr="008E7EDF">
        <w:rPr>
          <w:rFonts w:hint="eastAsia"/>
          <w:sz w:val="24"/>
        </w:rPr>
        <w:t>）专户的结构复杂性</w:t>
      </w:r>
    </w:p>
    <w:p w:rsidR="004375AD" w:rsidRPr="008E7EDF" w:rsidRDefault="004375AD" w:rsidP="000C1F1F">
      <w:pPr>
        <w:spacing w:line="360" w:lineRule="auto"/>
        <w:ind w:firstLineChars="200" w:firstLine="480"/>
        <w:rPr>
          <w:sz w:val="24"/>
        </w:rPr>
      </w:pPr>
      <w:r w:rsidRPr="008E7EDF">
        <w:rPr>
          <w:rFonts w:hint="eastAsia"/>
          <w:sz w:val="24"/>
        </w:rPr>
        <w:t>（</w:t>
      </w:r>
      <w:r w:rsidRPr="008E7EDF">
        <w:rPr>
          <w:rFonts w:hint="eastAsia"/>
          <w:sz w:val="24"/>
        </w:rPr>
        <w:t>4</w:t>
      </w:r>
      <w:r w:rsidR="00CD0DDF" w:rsidRPr="008E7EDF">
        <w:rPr>
          <w:rFonts w:hint="eastAsia"/>
          <w:sz w:val="24"/>
        </w:rPr>
        <w:t>）专户的最低投资金额</w:t>
      </w:r>
    </w:p>
    <w:p w:rsidR="004375AD" w:rsidRPr="008E7EDF" w:rsidRDefault="004375AD" w:rsidP="000C1F1F">
      <w:pPr>
        <w:spacing w:line="360" w:lineRule="auto"/>
        <w:ind w:firstLineChars="200" w:firstLine="480"/>
        <w:rPr>
          <w:sz w:val="24"/>
        </w:rPr>
      </w:pPr>
      <w:r w:rsidRPr="008E7EDF">
        <w:rPr>
          <w:rFonts w:hint="eastAsia"/>
          <w:sz w:val="24"/>
        </w:rPr>
        <w:t>（</w:t>
      </w:r>
      <w:r w:rsidRPr="008E7EDF">
        <w:rPr>
          <w:rFonts w:hint="eastAsia"/>
          <w:sz w:val="24"/>
        </w:rPr>
        <w:t>5</w:t>
      </w:r>
      <w:r w:rsidR="00CD0DDF" w:rsidRPr="008E7EDF">
        <w:rPr>
          <w:rFonts w:hint="eastAsia"/>
          <w:sz w:val="24"/>
        </w:rPr>
        <w:t>）专户的募集方式</w:t>
      </w:r>
    </w:p>
    <w:p w:rsidR="00720366" w:rsidRPr="008E7EDF" w:rsidRDefault="00720366" w:rsidP="008E7EDF">
      <w:pPr>
        <w:spacing w:line="360" w:lineRule="auto"/>
        <w:ind w:firstLineChars="200" w:firstLine="480"/>
        <w:rPr>
          <w:rFonts w:asciiTheme="minorEastAsia" w:eastAsiaTheme="minorEastAsia" w:hAnsiTheme="minorEastAsia"/>
          <w:sz w:val="24"/>
        </w:rPr>
      </w:pPr>
      <w:r w:rsidRPr="008E7EDF">
        <w:rPr>
          <w:rFonts w:asciiTheme="minorEastAsia" w:eastAsiaTheme="minorEastAsia" w:hAnsiTheme="minorEastAsia" w:hint="eastAsia"/>
          <w:sz w:val="24"/>
        </w:rPr>
        <w:t>2．定量分析</w:t>
      </w:r>
    </w:p>
    <w:p w:rsidR="0021107F" w:rsidRPr="008E7EDF" w:rsidRDefault="0021107F" w:rsidP="000C1F1F">
      <w:pPr>
        <w:spacing w:line="360" w:lineRule="auto"/>
        <w:ind w:firstLineChars="200" w:firstLine="480"/>
        <w:rPr>
          <w:sz w:val="24"/>
        </w:rPr>
      </w:pPr>
      <w:r w:rsidRPr="008E7EDF">
        <w:rPr>
          <w:rFonts w:hint="eastAsia"/>
          <w:sz w:val="24"/>
        </w:rPr>
        <w:t>（</w:t>
      </w:r>
      <w:r w:rsidRPr="008E7EDF">
        <w:rPr>
          <w:rFonts w:hint="eastAsia"/>
          <w:sz w:val="24"/>
        </w:rPr>
        <w:t>1</w:t>
      </w:r>
      <w:r w:rsidRPr="008E7EDF">
        <w:rPr>
          <w:rFonts w:hint="eastAsia"/>
          <w:sz w:val="24"/>
        </w:rPr>
        <w:t>）专户成立以来有无违规行为发生</w:t>
      </w:r>
    </w:p>
    <w:p w:rsidR="004375AD" w:rsidRPr="008E7EDF" w:rsidRDefault="004375AD" w:rsidP="000C1F1F">
      <w:pPr>
        <w:spacing w:line="360" w:lineRule="auto"/>
        <w:ind w:firstLineChars="200" w:firstLine="480"/>
        <w:rPr>
          <w:sz w:val="24"/>
        </w:rPr>
      </w:pPr>
      <w:r w:rsidRPr="008E7EDF">
        <w:rPr>
          <w:rFonts w:hint="eastAsia"/>
          <w:sz w:val="24"/>
        </w:rPr>
        <w:t>（</w:t>
      </w:r>
      <w:r w:rsidR="0021107F" w:rsidRPr="008E7EDF">
        <w:rPr>
          <w:rFonts w:hint="eastAsia"/>
          <w:sz w:val="24"/>
        </w:rPr>
        <w:t>2</w:t>
      </w:r>
      <w:r w:rsidR="00CD0DDF" w:rsidRPr="008E7EDF">
        <w:rPr>
          <w:rFonts w:hint="eastAsia"/>
          <w:sz w:val="24"/>
        </w:rPr>
        <w:t>）专户的杠杆情况</w:t>
      </w:r>
    </w:p>
    <w:p w:rsidR="004375AD" w:rsidRPr="008E7EDF" w:rsidRDefault="004375AD" w:rsidP="000C1F1F">
      <w:pPr>
        <w:spacing w:line="360" w:lineRule="auto"/>
        <w:ind w:firstLineChars="200" w:firstLine="480"/>
        <w:rPr>
          <w:sz w:val="24"/>
        </w:rPr>
      </w:pPr>
      <w:r w:rsidRPr="008E7EDF">
        <w:rPr>
          <w:rFonts w:hint="eastAsia"/>
          <w:sz w:val="24"/>
        </w:rPr>
        <w:t>（</w:t>
      </w:r>
      <w:r w:rsidR="0021107F" w:rsidRPr="008E7EDF">
        <w:rPr>
          <w:rFonts w:hint="eastAsia"/>
          <w:sz w:val="24"/>
        </w:rPr>
        <w:t>3</w:t>
      </w:r>
      <w:r w:rsidR="00CD0DDF" w:rsidRPr="008E7EDF">
        <w:rPr>
          <w:rFonts w:hint="eastAsia"/>
          <w:sz w:val="24"/>
        </w:rPr>
        <w:t>）专户的结构化比例</w:t>
      </w:r>
    </w:p>
    <w:p w:rsidR="004375AD" w:rsidRPr="008E7EDF" w:rsidRDefault="004375AD" w:rsidP="000C1F1F">
      <w:pPr>
        <w:spacing w:line="360" w:lineRule="auto"/>
        <w:ind w:firstLineChars="200" w:firstLine="480"/>
        <w:rPr>
          <w:sz w:val="24"/>
        </w:rPr>
      </w:pPr>
      <w:r w:rsidRPr="008E7EDF">
        <w:rPr>
          <w:rFonts w:hint="eastAsia"/>
          <w:sz w:val="24"/>
        </w:rPr>
        <w:t>（</w:t>
      </w:r>
      <w:r w:rsidR="0021107F" w:rsidRPr="008E7EDF">
        <w:rPr>
          <w:rFonts w:hint="eastAsia"/>
          <w:sz w:val="24"/>
        </w:rPr>
        <w:t>4</w:t>
      </w:r>
      <w:r w:rsidR="00CD0DDF" w:rsidRPr="008E7EDF">
        <w:rPr>
          <w:rFonts w:hint="eastAsia"/>
          <w:sz w:val="24"/>
        </w:rPr>
        <w:t>）专户的过往业绩</w:t>
      </w:r>
    </w:p>
    <w:p w:rsidR="004375AD" w:rsidRPr="008E7EDF" w:rsidRDefault="001B45CD" w:rsidP="008E7EDF">
      <w:pPr>
        <w:spacing w:line="360" w:lineRule="auto"/>
        <w:ind w:firstLineChars="200" w:firstLine="480"/>
        <w:rPr>
          <w:rFonts w:asciiTheme="minorEastAsia" w:eastAsiaTheme="minorEastAsia" w:hAnsiTheme="minorEastAsia"/>
          <w:sz w:val="24"/>
        </w:rPr>
      </w:pPr>
      <w:r w:rsidRPr="008E7EDF">
        <w:rPr>
          <w:rFonts w:asciiTheme="minorEastAsia" w:eastAsiaTheme="minorEastAsia" w:hAnsiTheme="minorEastAsia" w:hint="eastAsia"/>
          <w:sz w:val="24"/>
        </w:rPr>
        <w:t xml:space="preserve">3. </w:t>
      </w:r>
      <w:r w:rsidR="00CD0DDF" w:rsidRPr="008E7EDF">
        <w:rPr>
          <w:rFonts w:asciiTheme="minorEastAsia" w:eastAsiaTheme="minorEastAsia" w:hAnsiTheme="minorEastAsia" w:hint="eastAsia"/>
          <w:sz w:val="24"/>
        </w:rPr>
        <w:t>其他附加因素</w:t>
      </w:r>
    </w:p>
    <w:p w:rsidR="001B45CD" w:rsidRPr="007B14D9" w:rsidRDefault="001B45CD" w:rsidP="001B45CD">
      <w:pPr>
        <w:spacing w:line="360" w:lineRule="auto"/>
        <w:ind w:firstLineChars="200" w:firstLine="480"/>
        <w:rPr>
          <w:sz w:val="24"/>
        </w:rPr>
      </w:pPr>
      <w:r w:rsidRPr="007B14D9">
        <w:rPr>
          <w:rFonts w:hint="eastAsia"/>
          <w:sz w:val="24"/>
        </w:rPr>
        <w:t>专户管理人通过审慎评估专户产品中的各类特殊安排，或其他可能构成专户产品投资风险的因素，可在定性及定量分析的基础上，酌情对专户产品的其他特定安排和风险因素给予一定附加分，并统一纳入风险评价体系。</w:t>
      </w:r>
    </w:p>
    <w:p w:rsidR="00720366" w:rsidRPr="007B14D9" w:rsidRDefault="00720366" w:rsidP="00720366">
      <w:pPr>
        <w:spacing w:line="360" w:lineRule="auto"/>
        <w:ind w:firstLineChars="200" w:firstLine="482"/>
        <w:rPr>
          <w:sz w:val="24"/>
        </w:rPr>
      </w:pPr>
      <w:r w:rsidRPr="007B14D9">
        <w:rPr>
          <w:rFonts w:ascii="宋体" w:hAnsi="宋体" w:hint="eastAsia"/>
          <w:b/>
          <w:sz w:val="24"/>
          <w:szCs w:val="22"/>
        </w:rPr>
        <w:t>第</w:t>
      </w:r>
      <w:r w:rsidR="00472469">
        <w:rPr>
          <w:rFonts w:ascii="宋体" w:hAnsi="宋体" w:hint="eastAsia"/>
          <w:b/>
          <w:sz w:val="24"/>
          <w:szCs w:val="22"/>
        </w:rPr>
        <w:t>八</w:t>
      </w:r>
      <w:r w:rsidRPr="007B14D9">
        <w:rPr>
          <w:rFonts w:ascii="宋体" w:hAnsi="宋体" w:hint="eastAsia"/>
          <w:b/>
          <w:sz w:val="24"/>
          <w:szCs w:val="22"/>
        </w:rPr>
        <w:t xml:space="preserve">条 </w:t>
      </w:r>
      <w:r w:rsidRPr="007B14D9">
        <w:rPr>
          <w:rFonts w:hint="eastAsia"/>
          <w:sz w:val="24"/>
        </w:rPr>
        <w:t>专户产品风险评价</w:t>
      </w:r>
      <w:r w:rsidR="001B45CD" w:rsidRPr="007B14D9">
        <w:rPr>
          <w:rFonts w:hint="eastAsia"/>
          <w:sz w:val="24"/>
        </w:rPr>
        <w:t>结果</w:t>
      </w:r>
      <w:r w:rsidRPr="007B14D9">
        <w:rPr>
          <w:rFonts w:hint="eastAsia"/>
          <w:sz w:val="24"/>
        </w:rPr>
        <w:t>以产品风险等级来具体反映，按照不同的项目进行相加后的总分对应不同的风险等级，专户产品风险包括以下五个等级：</w:t>
      </w:r>
    </w:p>
    <w:p w:rsidR="00720366" w:rsidRPr="007B14D9" w:rsidRDefault="00720366" w:rsidP="00720366">
      <w:pPr>
        <w:spacing w:line="360" w:lineRule="auto"/>
        <w:ind w:firstLineChars="200" w:firstLine="480"/>
        <w:rPr>
          <w:sz w:val="24"/>
        </w:rPr>
      </w:pPr>
      <w:r w:rsidRPr="007B14D9">
        <w:rPr>
          <w:rFonts w:hint="eastAsia"/>
          <w:sz w:val="24"/>
        </w:rPr>
        <w:t xml:space="preserve">(1) </w:t>
      </w:r>
      <w:r w:rsidR="00BB7161">
        <w:rPr>
          <w:rFonts w:hint="eastAsia"/>
          <w:sz w:val="24"/>
        </w:rPr>
        <w:t>R1</w:t>
      </w:r>
      <w:r w:rsidRPr="007B14D9">
        <w:rPr>
          <w:rFonts w:hint="eastAsia"/>
          <w:sz w:val="24"/>
        </w:rPr>
        <w:t>等级；</w:t>
      </w:r>
    </w:p>
    <w:p w:rsidR="00720366" w:rsidRPr="007B14D9" w:rsidRDefault="00720366" w:rsidP="00720366">
      <w:pPr>
        <w:spacing w:line="360" w:lineRule="auto"/>
        <w:ind w:firstLineChars="200" w:firstLine="480"/>
        <w:rPr>
          <w:sz w:val="24"/>
        </w:rPr>
      </w:pPr>
      <w:r w:rsidRPr="007B14D9">
        <w:rPr>
          <w:rFonts w:hint="eastAsia"/>
          <w:sz w:val="24"/>
        </w:rPr>
        <w:t xml:space="preserve">(2) </w:t>
      </w:r>
      <w:r w:rsidR="00BB7161">
        <w:rPr>
          <w:rFonts w:hint="eastAsia"/>
          <w:sz w:val="24"/>
        </w:rPr>
        <w:t>R2</w:t>
      </w:r>
      <w:r w:rsidRPr="007B14D9">
        <w:rPr>
          <w:rFonts w:hint="eastAsia"/>
          <w:sz w:val="24"/>
        </w:rPr>
        <w:t>等级；</w:t>
      </w:r>
    </w:p>
    <w:p w:rsidR="00720366" w:rsidRPr="007B14D9" w:rsidRDefault="00720366" w:rsidP="00720366">
      <w:pPr>
        <w:spacing w:line="360" w:lineRule="auto"/>
        <w:ind w:firstLineChars="200" w:firstLine="480"/>
        <w:rPr>
          <w:sz w:val="24"/>
        </w:rPr>
      </w:pPr>
      <w:r w:rsidRPr="007B14D9">
        <w:rPr>
          <w:rFonts w:hint="eastAsia"/>
          <w:sz w:val="24"/>
        </w:rPr>
        <w:t xml:space="preserve">(3) </w:t>
      </w:r>
      <w:r w:rsidR="00BB7161">
        <w:rPr>
          <w:rFonts w:hint="eastAsia"/>
          <w:sz w:val="24"/>
        </w:rPr>
        <w:t>R3</w:t>
      </w:r>
      <w:r w:rsidRPr="007B14D9">
        <w:rPr>
          <w:rFonts w:hint="eastAsia"/>
          <w:sz w:val="24"/>
        </w:rPr>
        <w:t>等级；</w:t>
      </w:r>
    </w:p>
    <w:p w:rsidR="00720366" w:rsidRPr="007B14D9" w:rsidRDefault="00720366" w:rsidP="00720366">
      <w:pPr>
        <w:spacing w:line="360" w:lineRule="auto"/>
        <w:ind w:firstLineChars="200" w:firstLine="480"/>
        <w:rPr>
          <w:sz w:val="24"/>
        </w:rPr>
      </w:pPr>
      <w:r w:rsidRPr="007B14D9">
        <w:rPr>
          <w:rFonts w:hint="eastAsia"/>
          <w:sz w:val="24"/>
        </w:rPr>
        <w:t xml:space="preserve">(4) </w:t>
      </w:r>
      <w:r w:rsidR="00BB7161">
        <w:rPr>
          <w:rFonts w:hint="eastAsia"/>
          <w:sz w:val="24"/>
        </w:rPr>
        <w:t>R4</w:t>
      </w:r>
      <w:r w:rsidRPr="007B14D9">
        <w:rPr>
          <w:rFonts w:hint="eastAsia"/>
          <w:sz w:val="24"/>
        </w:rPr>
        <w:t>等级；</w:t>
      </w:r>
    </w:p>
    <w:p w:rsidR="00720366" w:rsidRPr="007B14D9" w:rsidRDefault="00720366" w:rsidP="00720366">
      <w:pPr>
        <w:spacing w:line="360" w:lineRule="auto"/>
        <w:ind w:firstLineChars="200" w:firstLine="480"/>
        <w:rPr>
          <w:sz w:val="24"/>
        </w:rPr>
      </w:pPr>
      <w:r w:rsidRPr="007B14D9">
        <w:rPr>
          <w:rFonts w:hint="eastAsia"/>
          <w:sz w:val="24"/>
        </w:rPr>
        <w:t xml:space="preserve">(5) </w:t>
      </w:r>
      <w:r w:rsidR="00BB7161">
        <w:rPr>
          <w:rFonts w:hint="eastAsia"/>
          <w:sz w:val="24"/>
        </w:rPr>
        <w:t>R5</w:t>
      </w:r>
      <w:r w:rsidRPr="007B14D9">
        <w:rPr>
          <w:rFonts w:hint="eastAsia"/>
          <w:sz w:val="24"/>
        </w:rPr>
        <w:t>等级。</w:t>
      </w:r>
    </w:p>
    <w:p w:rsidR="00720366" w:rsidRPr="007B14D9" w:rsidRDefault="00720366" w:rsidP="002454D1">
      <w:pPr>
        <w:keepNext/>
        <w:keepLines/>
        <w:spacing w:beforeLines="100" w:before="312" w:afterLines="100" w:after="312" w:line="360" w:lineRule="auto"/>
        <w:jc w:val="center"/>
        <w:outlineLvl w:val="1"/>
        <w:rPr>
          <w:rFonts w:ascii="黑体" w:eastAsia="黑体" w:hAnsi="宋体"/>
          <w:bCs/>
          <w:kern w:val="0"/>
          <w:sz w:val="30"/>
          <w:szCs w:val="28"/>
        </w:rPr>
      </w:pPr>
      <w:bookmarkStart w:id="19" w:name="_Toc484028139"/>
      <w:r w:rsidRPr="007B14D9">
        <w:rPr>
          <w:rFonts w:ascii="黑体" w:eastAsia="黑体" w:hAnsi="宋体" w:hint="eastAsia"/>
          <w:bCs/>
          <w:kern w:val="0"/>
          <w:sz w:val="30"/>
          <w:szCs w:val="28"/>
        </w:rPr>
        <w:t>第五章  专户产品风险评价方法</w:t>
      </w:r>
      <w:bookmarkEnd w:id="19"/>
    </w:p>
    <w:p w:rsidR="00F17C41" w:rsidRDefault="00720366" w:rsidP="002454D1">
      <w:pPr>
        <w:spacing w:beforeLines="100" w:before="312" w:line="360" w:lineRule="auto"/>
        <w:ind w:firstLineChars="147" w:firstLine="354"/>
        <w:rPr>
          <w:sz w:val="24"/>
        </w:rPr>
      </w:pPr>
      <w:r w:rsidRPr="007B14D9">
        <w:rPr>
          <w:rFonts w:ascii="宋体" w:hAnsi="宋体" w:hint="eastAsia"/>
          <w:b/>
          <w:sz w:val="24"/>
          <w:szCs w:val="22"/>
        </w:rPr>
        <w:t>第</w:t>
      </w:r>
      <w:r w:rsidR="00472469">
        <w:rPr>
          <w:rFonts w:ascii="宋体" w:hAnsi="宋体" w:hint="eastAsia"/>
          <w:b/>
          <w:sz w:val="24"/>
          <w:szCs w:val="22"/>
        </w:rPr>
        <w:t>九</w:t>
      </w:r>
      <w:r w:rsidRPr="007B14D9">
        <w:rPr>
          <w:rFonts w:ascii="宋体" w:hAnsi="宋体" w:hint="eastAsia"/>
          <w:b/>
          <w:sz w:val="24"/>
          <w:szCs w:val="22"/>
        </w:rPr>
        <w:t xml:space="preserve">条 </w:t>
      </w:r>
      <w:r w:rsidRPr="007B14D9">
        <w:rPr>
          <w:rFonts w:hint="eastAsia"/>
          <w:sz w:val="24"/>
        </w:rPr>
        <w:t>专户产品风险评价方法具体说明如下：</w:t>
      </w:r>
    </w:p>
    <w:p w:rsidR="00720366" w:rsidRPr="008E7EDF" w:rsidRDefault="00720366" w:rsidP="000C1F1F">
      <w:pPr>
        <w:spacing w:line="360" w:lineRule="auto"/>
        <w:ind w:firstLineChars="200" w:firstLine="480"/>
        <w:rPr>
          <w:sz w:val="24"/>
        </w:rPr>
      </w:pPr>
      <w:r w:rsidRPr="008E7EDF">
        <w:rPr>
          <w:rFonts w:hint="eastAsia"/>
          <w:sz w:val="24"/>
        </w:rPr>
        <w:t>1</w:t>
      </w:r>
      <w:r w:rsidRPr="008E7EDF">
        <w:rPr>
          <w:rFonts w:hint="eastAsia"/>
          <w:sz w:val="24"/>
        </w:rPr>
        <w:t>．定性分析方法</w:t>
      </w:r>
    </w:p>
    <w:p w:rsidR="00720366" w:rsidRPr="008E7EDF" w:rsidRDefault="00720366" w:rsidP="000C1F1F">
      <w:pPr>
        <w:spacing w:line="360" w:lineRule="auto"/>
        <w:ind w:firstLineChars="200" w:firstLine="480"/>
        <w:rPr>
          <w:sz w:val="24"/>
        </w:rPr>
      </w:pPr>
      <w:r w:rsidRPr="008E7EDF">
        <w:rPr>
          <w:rFonts w:hint="eastAsia"/>
          <w:sz w:val="24"/>
        </w:rPr>
        <w:t>（</w:t>
      </w:r>
      <w:r w:rsidRPr="008E7EDF">
        <w:rPr>
          <w:rFonts w:hint="eastAsia"/>
          <w:sz w:val="24"/>
        </w:rPr>
        <w:t>1</w:t>
      </w:r>
      <w:r w:rsidRPr="008E7EDF">
        <w:rPr>
          <w:rFonts w:hint="eastAsia"/>
          <w:sz w:val="24"/>
        </w:rPr>
        <w:t>）根据</w:t>
      </w:r>
      <w:r w:rsidR="004375AD" w:rsidRPr="008E7EDF">
        <w:rPr>
          <w:rFonts w:hint="eastAsia"/>
          <w:sz w:val="24"/>
        </w:rPr>
        <w:t>专户的投资方向和投资范围</w:t>
      </w:r>
      <w:r w:rsidRPr="008E7EDF">
        <w:rPr>
          <w:rFonts w:hint="eastAsia"/>
          <w:sz w:val="24"/>
        </w:rPr>
        <w:t>进行打分：</w:t>
      </w:r>
    </w:p>
    <w:p w:rsidR="00720366" w:rsidRPr="007B14D9" w:rsidRDefault="000C1F1F" w:rsidP="00720366">
      <w:pPr>
        <w:spacing w:line="360" w:lineRule="auto"/>
        <w:ind w:firstLineChars="200" w:firstLine="480"/>
        <w:rPr>
          <w:sz w:val="24"/>
        </w:rPr>
      </w:pPr>
      <w:r>
        <w:rPr>
          <w:rFonts w:hint="eastAsia"/>
          <w:sz w:val="24"/>
        </w:rPr>
        <w:t>商品</w:t>
      </w:r>
      <w:r w:rsidR="003B2515">
        <w:rPr>
          <w:rFonts w:hint="eastAsia"/>
          <w:sz w:val="24"/>
        </w:rPr>
        <w:t>及金融衍生品类</w:t>
      </w:r>
      <w:r w:rsidR="00720366" w:rsidRPr="007B14D9">
        <w:rPr>
          <w:rFonts w:hint="eastAsia"/>
          <w:sz w:val="24"/>
        </w:rPr>
        <w:t>，</w:t>
      </w:r>
      <w:r w:rsidR="003B2515">
        <w:rPr>
          <w:rFonts w:hint="eastAsia"/>
          <w:sz w:val="24"/>
        </w:rPr>
        <w:t>权益类、混合类，</w:t>
      </w:r>
      <w:r w:rsidR="00720366" w:rsidRPr="007B14D9">
        <w:rPr>
          <w:rFonts w:hint="eastAsia"/>
          <w:sz w:val="24"/>
        </w:rPr>
        <w:t>风险评价得分为</w:t>
      </w:r>
      <w:r w:rsidR="00720366" w:rsidRPr="007B14D9">
        <w:rPr>
          <w:rFonts w:hint="eastAsia"/>
          <w:sz w:val="24"/>
        </w:rPr>
        <w:t>30</w:t>
      </w:r>
      <w:r w:rsidR="00720366" w:rsidRPr="007B14D9">
        <w:rPr>
          <w:rFonts w:hint="eastAsia"/>
          <w:sz w:val="24"/>
        </w:rPr>
        <w:t>分；</w:t>
      </w:r>
    </w:p>
    <w:p w:rsidR="00720366" w:rsidRPr="007B14D9" w:rsidRDefault="003B2515" w:rsidP="00720366">
      <w:pPr>
        <w:spacing w:line="360" w:lineRule="auto"/>
        <w:ind w:firstLineChars="200" w:firstLine="480"/>
        <w:rPr>
          <w:sz w:val="24"/>
        </w:rPr>
      </w:pPr>
      <w:r>
        <w:rPr>
          <w:rFonts w:hint="eastAsia"/>
          <w:sz w:val="24"/>
        </w:rPr>
        <w:t>固定收益</w:t>
      </w:r>
      <w:r w:rsidR="00253283">
        <w:rPr>
          <w:rFonts w:hint="eastAsia"/>
          <w:sz w:val="24"/>
        </w:rPr>
        <w:t>类</w:t>
      </w:r>
      <w:r w:rsidR="002041F7">
        <w:rPr>
          <w:rFonts w:hint="eastAsia"/>
          <w:sz w:val="24"/>
        </w:rPr>
        <w:t>II</w:t>
      </w:r>
      <w:r w:rsidR="00253283">
        <w:rPr>
          <w:rFonts w:hint="eastAsia"/>
          <w:sz w:val="24"/>
        </w:rPr>
        <w:t>型</w:t>
      </w:r>
      <w:r w:rsidR="00720366" w:rsidRPr="007B14D9">
        <w:rPr>
          <w:rFonts w:hint="eastAsia"/>
          <w:sz w:val="24"/>
        </w:rPr>
        <w:t>，风险评价得分为</w:t>
      </w:r>
      <w:r w:rsidR="00720366" w:rsidRPr="007B14D9">
        <w:rPr>
          <w:rFonts w:hint="eastAsia"/>
          <w:sz w:val="24"/>
        </w:rPr>
        <w:t>15</w:t>
      </w:r>
      <w:r w:rsidR="00720366" w:rsidRPr="007B14D9">
        <w:rPr>
          <w:rFonts w:hint="eastAsia"/>
          <w:sz w:val="24"/>
        </w:rPr>
        <w:t>分；</w:t>
      </w:r>
    </w:p>
    <w:p w:rsidR="00720366" w:rsidRDefault="002041F7" w:rsidP="00720366">
      <w:pPr>
        <w:spacing w:line="360" w:lineRule="auto"/>
        <w:ind w:firstLineChars="200" w:firstLine="480"/>
        <w:rPr>
          <w:sz w:val="24"/>
        </w:rPr>
      </w:pPr>
      <w:r>
        <w:rPr>
          <w:rFonts w:hint="eastAsia"/>
          <w:sz w:val="24"/>
        </w:rPr>
        <w:t>固定收益</w:t>
      </w:r>
      <w:r w:rsidR="00253283">
        <w:rPr>
          <w:rFonts w:hint="eastAsia"/>
          <w:sz w:val="24"/>
        </w:rPr>
        <w:t>类</w:t>
      </w:r>
      <w:r>
        <w:rPr>
          <w:rFonts w:hint="eastAsia"/>
          <w:sz w:val="24"/>
        </w:rPr>
        <w:t>I</w:t>
      </w:r>
      <w:r w:rsidR="00253283">
        <w:rPr>
          <w:rFonts w:hint="eastAsia"/>
          <w:sz w:val="24"/>
        </w:rPr>
        <w:t>型</w:t>
      </w:r>
      <w:r w:rsidR="00720366" w:rsidRPr="007B14D9">
        <w:rPr>
          <w:rFonts w:hint="eastAsia"/>
          <w:sz w:val="24"/>
        </w:rPr>
        <w:t>，风险评价得分为</w:t>
      </w:r>
      <w:r w:rsidR="00720366" w:rsidRPr="007B14D9">
        <w:rPr>
          <w:rFonts w:hint="eastAsia"/>
          <w:sz w:val="24"/>
        </w:rPr>
        <w:t>1</w:t>
      </w:r>
      <w:r w:rsidR="00720366" w:rsidRPr="007B14D9">
        <w:rPr>
          <w:rFonts w:hint="eastAsia"/>
          <w:sz w:val="24"/>
        </w:rPr>
        <w:t>分。</w:t>
      </w:r>
    </w:p>
    <w:p w:rsidR="002041F7" w:rsidRPr="002041F7" w:rsidRDefault="002041F7" w:rsidP="00720366">
      <w:pPr>
        <w:spacing w:line="360" w:lineRule="auto"/>
        <w:ind w:firstLineChars="200" w:firstLine="480"/>
        <w:rPr>
          <w:sz w:val="24"/>
        </w:rPr>
      </w:pPr>
      <w:r w:rsidRPr="007B14D9">
        <w:rPr>
          <w:rFonts w:hint="eastAsia"/>
          <w:sz w:val="24"/>
        </w:rPr>
        <w:lastRenderedPageBreak/>
        <w:t>FOF</w:t>
      </w:r>
      <w:r w:rsidRPr="007B14D9">
        <w:rPr>
          <w:rFonts w:hint="eastAsia"/>
          <w:sz w:val="24"/>
        </w:rPr>
        <w:t>产品</w:t>
      </w:r>
      <w:r>
        <w:rPr>
          <w:rFonts w:hint="eastAsia"/>
          <w:sz w:val="24"/>
        </w:rPr>
        <w:t>、</w:t>
      </w:r>
      <w:r>
        <w:rPr>
          <w:rFonts w:hint="eastAsia"/>
          <w:sz w:val="24"/>
        </w:rPr>
        <w:t>QDII</w:t>
      </w:r>
      <w:r>
        <w:rPr>
          <w:rFonts w:hint="eastAsia"/>
          <w:sz w:val="24"/>
        </w:rPr>
        <w:t>产品及未来证监会批准的新型专户产品</w:t>
      </w:r>
      <w:r w:rsidR="007D39A3">
        <w:rPr>
          <w:rFonts w:hint="eastAsia"/>
          <w:sz w:val="24"/>
        </w:rPr>
        <w:t>根据</w:t>
      </w:r>
      <w:r w:rsidRPr="007B14D9">
        <w:rPr>
          <w:rFonts w:hint="eastAsia"/>
          <w:sz w:val="24"/>
        </w:rPr>
        <w:t>投资范围、投资比例</w:t>
      </w:r>
      <w:r>
        <w:rPr>
          <w:rFonts w:hint="eastAsia"/>
          <w:sz w:val="24"/>
        </w:rPr>
        <w:t>、风险收益特征</w:t>
      </w:r>
      <w:r w:rsidR="00C433C2">
        <w:rPr>
          <w:rFonts w:hint="eastAsia"/>
          <w:sz w:val="24"/>
        </w:rPr>
        <w:t>等因素，参照以上产品</w:t>
      </w:r>
      <w:r w:rsidRPr="007B14D9">
        <w:rPr>
          <w:rFonts w:hint="eastAsia"/>
          <w:sz w:val="24"/>
        </w:rPr>
        <w:t>类别进行打分。</w:t>
      </w:r>
    </w:p>
    <w:p w:rsidR="00720366" w:rsidRPr="008E7EDF" w:rsidRDefault="00720366" w:rsidP="000C1F1F">
      <w:pPr>
        <w:spacing w:line="360" w:lineRule="auto"/>
        <w:ind w:firstLineChars="200" w:firstLine="480"/>
        <w:rPr>
          <w:sz w:val="24"/>
        </w:rPr>
      </w:pPr>
      <w:r w:rsidRPr="008E7EDF">
        <w:rPr>
          <w:rFonts w:hint="eastAsia"/>
          <w:sz w:val="24"/>
        </w:rPr>
        <w:t>（</w:t>
      </w:r>
      <w:r w:rsidR="004375AD" w:rsidRPr="008E7EDF">
        <w:rPr>
          <w:rFonts w:hint="eastAsia"/>
          <w:sz w:val="24"/>
        </w:rPr>
        <w:t>2</w:t>
      </w:r>
      <w:r w:rsidRPr="008E7EDF">
        <w:rPr>
          <w:rFonts w:hint="eastAsia"/>
          <w:sz w:val="24"/>
        </w:rPr>
        <w:t>）根据专户产品</w:t>
      </w:r>
      <w:r w:rsidR="004375AD" w:rsidRPr="008E7EDF">
        <w:rPr>
          <w:rFonts w:hint="eastAsia"/>
          <w:sz w:val="24"/>
        </w:rPr>
        <w:t>流动性及</w:t>
      </w:r>
      <w:r w:rsidRPr="008E7EDF">
        <w:rPr>
          <w:rFonts w:hint="eastAsia"/>
          <w:sz w:val="24"/>
        </w:rPr>
        <w:t>到期</w:t>
      </w:r>
      <w:r w:rsidR="001B45CD" w:rsidRPr="008E7EDF">
        <w:rPr>
          <w:rFonts w:hint="eastAsia"/>
          <w:sz w:val="24"/>
        </w:rPr>
        <w:t>时限</w:t>
      </w:r>
      <w:r w:rsidRPr="008E7EDF">
        <w:rPr>
          <w:rFonts w:hint="eastAsia"/>
          <w:sz w:val="24"/>
        </w:rPr>
        <w:t>进行打分</w:t>
      </w:r>
    </w:p>
    <w:p w:rsidR="00720366" w:rsidRPr="007B14D9" w:rsidRDefault="001B45CD" w:rsidP="00720366">
      <w:pPr>
        <w:spacing w:line="360" w:lineRule="auto"/>
        <w:ind w:firstLineChars="200" w:firstLine="480"/>
        <w:rPr>
          <w:sz w:val="24"/>
        </w:rPr>
      </w:pPr>
      <w:r w:rsidRPr="007B14D9">
        <w:rPr>
          <w:rFonts w:hint="eastAsia"/>
          <w:sz w:val="24"/>
        </w:rPr>
        <w:t>最短封闭期</w:t>
      </w:r>
      <w:r w:rsidR="00720366" w:rsidRPr="007B14D9">
        <w:rPr>
          <w:rFonts w:hint="eastAsia"/>
          <w:sz w:val="24"/>
        </w:rPr>
        <w:t>在</w:t>
      </w:r>
      <w:r w:rsidR="00720366" w:rsidRPr="007B14D9">
        <w:rPr>
          <w:rFonts w:hint="eastAsia"/>
          <w:sz w:val="24"/>
        </w:rPr>
        <w:t>36</w:t>
      </w:r>
      <w:r w:rsidR="00720366" w:rsidRPr="007B14D9">
        <w:rPr>
          <w:rFonts w:hint="eastAsia"/>
          <w:sz w:val="24"/>
        </w:rPr>
        <w:t>个月及以上的，风险评价得分为</w:t>
      </w:r>
      <w:r w:rsidR="00720366" w:rsidRPr="007B14D9">
        <w:rPr>
          <w:rFonts w:hint="eastAsia"/>
          <w:sz w:val="24"/>
        </w:rPr>
        <w:t>2</w:t>
      </w:r>
      <w:r w:rsidR="00720366" w:rsidRPr="007B14D9">
        <w:rPr>
          <w:rFonts w:hint="eastAsia"/>
          <w:sz w:val="24"/>
        </w:rPr>
        <w:t>分；</w:t>
      </w:r>
    </w:p>
    <w:p w:rsidR="00720366" w:rsidRPr="007B14D9" w:rsidRDefault="001B45CD" w:rsidP="00720366">
      <w:pPr>
        <w:spacing w:line="360" w:lineRule="auto"/>
        <w:ind w:firstLineChars="200" w:firstLine="480"/>
        <w:rPr>
          <w:sz w:val="24"/>
        </w:rPr>
      </w:pPr>
      <w:r w:rsidRPr="007B14D9">
        <w:rPr>
          <w:rFonts w:hint="eastAsia"/>
          <w:sz w:val="24"/>
        </w:rPr>
        <w:t>最短封闭期</w:t>
      </w:r>
      <w:r w:rsidR="00720366" w:rsidRPr="007B14D9">
        <w:rPr>
          <w:rFonts w:hint="eastAsia"/>
          <w:sz w:val="24"/>
        </w:rPr>
        <w:t>在</w:t>
      </w:r>
      <w:r w:rsidR="00720366" w:rsidRPr="007B14D9">
        <w:rPr>
          <w:rFonts w:hint="eastAsia"/>
          <w:sz w:val="24"/>
        </w:rPr>
        <w:t>1</w:t>
      </w:r>
      <w:r w:rsidRPr="007B14D9">
        <w:rPr>
          <w:rFonts w:hint="eastAsia"/>
          <w:sz w:val="24"/>
        </w:rPr>
        <w:t>8</w:t>
      </w:r>
      <w:r w:rsidR="00720366" w:rsidRPr="007B14D9">
        <w:rPr>
          <w:rFonts w:hint="eastAsia"/>
          <w:sz w:val="24"/>
        </w:rPr>
        <w:t>至</w:t>
      </w:r>
      <w:r w:rsidR="00720366" w:rsidRPr="007B14D9">
        <w:rPr>
          <w:rFonts w:hint="eastAsia"/>
          <w:sz w:val="24"/>
        </w:rPr>
        <w:t>36</w:t>
      </w:r>
      <w:r w:rsidR="00720366" w:rsidRPr="007B14D9">
        <w:rPr>
          <w:rFonts w:hint="eastAsia"/>
          <w:sz w:val="24"/>
        </w:rPr>
        <w:t>个月（含）的，风险评价得分为</w:t>
      </w:r>
      <w:r w:rsidR="00720366" w:rsidRPr="007B14D9">
        <w:rPr>
          <w:rFonts w:hint="eastAsia"/>
          <w:sz w:val="24"/>
        </w:rPr>
        <w:t>1</w:t>
      </w:r>
      <w:r w:rsidR="00720366" w:rsidRPr="007B14D9">
        <w:rPr>
          <w:rFonts w:hint="eastAsia"/>
          <w:sz w:val="24"/>
        </w:rPr>
        <w:t>分；</w:t>
      </w:r>
    </w:p>
    <w:p w:rsidR="00720366" w:rsidRPr="007B14D9" w:rsidRDefault="001B45CD" w:rsidP="00720366">
      <w:pPr>
        <w:spacing w:line="360" w:lineRule="auto"/>
        <w:ind w:firstLineChars="200" w:firstLine="480"/>
        <w:rPr>
          <w:sz w:val="24"/>
        </w:rPr>
      </w:pPr>
      <w:r w:rsidRPr="007B14D9">
        <w:rPr>
          <w:rFonts w:hint="eastAsia"/>
          <w:sz w:val="24"/>
        </w:rPr>
        <w:t>最短封闭期</w:t>
      </w:r>
      <w:r w:rsidR="00720366" w:rsidRPr="007B14D9">
        <w:rPr>
          <w:rFonts w:hint="eastAsia"/>
          <w:sz w:val="24"/>
        </w:rPr>
        <w:t>在</w:t>
      </w:r>
      <w:r w:rsidR="00720366" w:rsidRPr="007B14D9">
        <w:rPr>
          <w:rFonts w:hint="eastAsia"/>
          <w:sz w:val="24"/>
        </w:rPr>
        <w:t>18</w:t>
      </w:r>
      <w:r w:rsidR="00720366" w:rsidRPr="007B14D9">
        <w:rPr>
          <w:rFonts w:hint="eastAsia"/>
          <w:sz w:val="24"/>
        </w:rPr>
        <w:t>个月</w:t>
      </w:r>
      <w:r w:rsidRPr="007B14D9">
        <w:rPr>
          <w:rFonts w:hint="eastAsia"/>
          <w:sz w:val="24"/>
        </w:rPr>
        <w:t>（含）</w:t>
      </w:r>
      <w:r w:rsidR="00720366" w:rsidRPr="007B14D9">
        <w:rPr>
          <w:rFonts w:hint="eastAsia"/>
          <w:sz w:val="24"/>
        </w:rPr>
        <w:t>以内的，风险评价得分为</w:t>
      </w:r>
      <w:r w:rsidR="00720366" w:rsidRPr="007B14D9">
        <w:rPr>
          <w:rFonts w:hint="eastAsia"/>
          <w:sz w:val="24"/>
        </w:rPr>
        <w:t>0</w:t>
      </w:r>
      <w:r w:rsidR="00720366" w:rsidRPr="007B14D9">
        <w:rPr>
          <w:rFonts w:hint="eastAsia"/>
          <w:sz w:val="24"/>
        </w:rPr>
        <w:t>分。</w:t>
      </w:r>
    </w:p>
    <w:p w:rsidR="004375AD" w:rsidRPr="008E7EDF" w:rsidRDefault="004375AD" w:rsidP="000C1F1F">
      <w:pPr>
        <w:spacing w:line="360" w:lineRule="auto"/>
        <w:ind w:firstLineChars="200" w:firstLine="480"/>
        <w:rPr>
          <w:sz w:val="24"/>
        </w:rPr>
      </w:pPr>
      <w:r w:rsidRPr="008E7EDF">
        <w:rPr>
          <w:rFonts w:hint="eastAsia"/>
          <w:sz w:val="24"/>
        </w:rPr>
        <w:t>（</w:t>
      </w:r>
      <w:r w:rsidRPr="008E7EDF">
        <w:rPr>
          <w:rFonts w:hint="eastAsia"/>
          <w:sz w:val="24"/>
        </w:rPr>
        <w:t>3</w:t>
      </w:r>
      <w:r w:rsidRPr="008E7EDF">
        <w:rPr>
          <w:rFonts w:hint="eastAsia"/>
          <w:sz w:val="24"/>
        </w:rPr>
        <w:t>）根据专户产品结构复杂性进行打分</w:t>
      </w:r>
    </w:p>
    <w:p w:rsidR="004375AD" w:rsidRPr="007B14D9" w:rsidRDefault="004375AD" w:rsidP="004375AD">
      <w:pPr>
        <w:spacing w:line="360" w:lineRule="auto"/>
        <w:ind w:firstLineChars="200" w:firstLine="480"/>
        <w:rPr>
          <w:sz w:val="24"/>
        </w:rPr>
      </w:pPr>
      <w:r w:rsidRPr="007B14D9">
        <w:rPr>
          <w:rFonts w:hint="eastAsia"/>
          <w:sz w:val="24"/>
        </w:rPr>
        <w:t>劣后级：风险评价得分为</w:t>
      </w:r>
      <w:r w:rsidR="001701DC">
        <w:rPr>
          <w:rFonts w:hint="eastAsia"/>
          <w:sz w:val="24"/>
        </w:rPr>
        <w:t>30</w:t>
      </w:r>
      <w:r w:rsidRPr="007B14D9">
        <w:rPr>
          <w:rFonts w:hint="eastAsia"/>
          <w:sz w:val="24"/>
        </w:rPr>
        <w:t>分；</w:t>
      </w:r>
    </w:p>
    <w:p w:rsidR="004375AD" w:rsidRPr="007B14D9" w:rsidRDefault="004375AD" w:rsidP="004375AD">
      <w:pPr>
        <w:spacing w:line="360" w:lineRule="auto"/>
        <w:ind w:firstLineChars="200" w:firstLine="480"/>
        <w:rPr>
          <w:sz w:val="24"/>
        </w:rPr>
      </w:pPr>
      <w:r w:rsidRPr="007B14D9">
        <w:rPr>
          <w:rFonts w:hint="eastAsia"/>
          <w:sz w:val="24"/>
        </w:rPr>
        <w:t>优先级：风险评价得分为</w:t>
      </w:r>
      <w:r w:rsidR="00F10704" w:rsidRPr="007B14D9">
        <w:rPr>
          <w:rFonts w:hint="eastAsia"/>
          <w:sz w:val="24"/>
        </w:rPr>
        <w:t>2</w:t>
      </w:r>
      <w:r w:rsidRPr="007B14D9">
        <w:rPr>
          <w:rFonts w:hint="eastAsia"/>
          <w:sz w:val="24"/>
        </w:rPr>
        <w:t>分</w:t>
      </w:r>
      <w:r w:rsidR="00F10704" w:rsidRPr="007B14D9">
        <w:rPr>
          <w:rFonts w:hint="eastAsia"/>
          <w:sz w:val="24"/>
        </w:rPr>
        <w:t>；</w:t>
      </w:r>
    </w:p>
    <w:p w:rsidR="00F10704" w:rsidRPr="007B14D9" w:rsidRDefault="00F10704" w:rsidP="00F10704">
      <w:pPr>
        <w:spacing w:line="360" w:lineRule="auto"/>
        <w:ind w:firstLineChars="200" w:firstLine="480"/>
        <w:rPr>
          <w:sz w:val="24"/>
        </w:rPr>
      </w:pPr>
      <w:r w:rsidRPr="007B14D9">
        <w:rPr>
          <w:rFonts w:hint="eastAsia"/>
          <w:sz w:val="24"/>
        </w:rPr>
        <w:t>平层产品：风险评价得分为</w:t>
      </w:r>
      <w:r w:rsidRPr="007B14D9">
        <w:rPr>
          <w:rFonts w:hint="eastAsia"/>
          <w:sz w:val="24"/>
        </w:rPr>
        <w:t>0</w:t>
      </w:r>
      <w:r w:rsidRPr="007B14D9">
        <w:rPr>
          <w:rFonts w:hint="eastAsia"/>
          <w:sz w:val="24"/>
        </w:rPr>
        <w:t>分。</w:t>
      </w:r>
    </w:p>
    <w:p w:rsidR="00720366" w:rsidRPr="008E7EDF" w:rsidRDefault="00720366" w:rsidP="000C1F1F">
      <w:pPr>
        <w:spacing w:line="360" w:lineRule="auto"/>
        <w:ind w:firstLineChars="200" w:firstLine="480"/>
        <w:rPr>
          <w:sz w:val="24"/>
        </w:rPr>
      </w:pPr>
      <w:r w:rsidRPr="008E7EDF">
        <w:rPr>
          <w:rFonts w:hint="eastAsia"/>
          <w:sz w:val="24"/>
        </w:rPr>
        <w:t>（</w:t>
      </w:r>
      <w:r w:rsidRPr="008E7EDF">
        <w:rPr>
          <w:rFonts w:hint="eastAsia"/>
          <w:sz w:val="24"/>
        </w:rPr>
        <w:t>4</w:t>
      </w:r>
      <w:r w:rsidRPr="008E7EDF">
        <w:rPr>
          <w:rFonts w:hint="eastAsia"/>
          <w:sz w:val="24"/>
        </w:rPr>
        <w:t>）根据</w:t>
      </w:r>
      <w:r w:rsidR="001B45CD" w:rsidRPr="008E7EDF">
        <w:rPr>
          <w:rFonts w:hint="eastAsia"/>
          <w:sz w:val="24"/>
        </w:rPr>
        <w:t>专户的最低投资金额</w:t>
      </w:r>
      <w:r w:rsidRPr="008E7EDF">
        <w:rPr>
          <w:rFonts w:hint="eastAsia"/>
          <w:sz w:val="24"/>
        </w:rPr>
        <w:t>进行打分</w:t>
      </w:r>
    </w:p>
    <w:p w:rsidR="00720366" w:rsidRPr="007B14D9" w:rsidRDefault="00720366" w:rsidP="00720366">
      <w:pPr>
        <w:spacing w:line="360" w:lineRule="auto"/>
        <w:ind w:firstLineChars="200" w:firstLine="480"/>
        <w:rPr>
          <w:sz w:val="24"/>
        </w:rPr>
      </w:pPr>
      <w:r w:rsidRPr="007B14D9">
        <w:rPr>
          <w:rFonts w:hint="eastAsia"/>
          <w:sz w:val="24"/>
        </w:rPr>
        <w:t>起点</w:t>
      </w:r>
      <w:r w:rsidRPr="007B14D9">
        <w:rPr>
          <w:rFonts w:hint="eastAsia"/>
          <w:sz w:val="24"/>
        </w:rPr>
        <w:t>300</w:t>
      </w:r>
      <w:r w:rsidRPr="007B14D9">
        <w:rPr>
          <w:rFonts w:hint="eastAsia"/>
          <w:sz w:val="24"/>
        </w:rPr>
        <w:t>万元及以上的，风险评价得分为</w:t>
      </w:r>
      <w:r w:rsidR="00990282" w:rsidRPr="007B14D9">
        <w:rPr>
          <w:rFonts w:hint="eastAsia"/>
          <w:sz w:val="24"/>
        </w:rPr>
        <w:t>1</w:t>
      </w:r>
      <w:r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起点</w:t>
      </w:r>
      <w:r w:rsidRPr="007B14D9">
        <w:rPr>
          <w:rFonts w:hint="eastAsia"/>
          <w:sz w:val="24"/>
        </w:rPr>
        <w:t>300</w:t>
      </w:r>
      <w:r w:rsidRPr="007B14D9">
        <w:rPr>
          <w:rFonts w:hint="eastAsia"/>
          <w:sz w:val="24"/>
        </w:rPr>
        <w:t>万元以下的，风险评价得分为</w:t>
      </w:r>
      <w:r w:rsidRPr="007B14D9">
        <w:rPr>
          <w:rFonts w:hint="eastAsia"/>
          <w:sz w:val="24"/>
        </w:rPr>
        <w:t>0</w:t>
      </w:r>
      <w:r w:rsidRPr="007B14D9">
        <w:rPr>
          <w:rFonts w:hint="eastAsia"/>
          <w:sz w:val="24"/>
        </w:rPr>
        <w:t>分。</w:t>
      </w:r>
    </w:p>
    <w:p w:rsidR="00720366" w:rsidRPr="008E7EDF" w:rsidRDefault="00720366" w:rsidP="008E7EDF">
      <w:pPr>
        <w:spacing w:line="360" w:lineRule="auto"/>
        <w:ind w:firstLineChars="200" w:firstLine="480"/>
        <w:rPr>
          <w:sz w:val="24"/>
        </w:rPr>
      </w:pPr>
      <w:r w:rsidRPr="008E7EDF">
        <w:rPr>
          <w:rFonts w:hint="eastAsia"/>
          <w:sz w:val="24"/>
        </w:rPr>
        <w:t>（</w:t>
      </w:r>
      <w:r w:rsidRPr="008E7EDF">
        <w:rPr>
          <w:rFonts w:hint="eastAsia"/>
          <w:sz w:val="24"/>
        </w:rPr>
        <w:t>5</w:t>
      </w:r>
      <w:r w:rsidRPr="008E7EDF">
        <w:rPr>
          <w:rFonts w:hint="eastAsia"/>
          <w:sz w:val="24"/>
        </w:rPr>
        <w:t>）根据专户产品的募集方式进行打分</w:t>
      </w:r>
    </w:p>
    <w:p w:rsidR="00720366" w:rsidRPr="007B14D9" w:rsidRDefault="00720366" w:rsidP="00720366">
      <w:pPr>
        <w:spacing w:line="360" w:lineRule="auto"/>
        <w:ind w:firstLineChars="200" w:firstLine="480"/>
        <w:rPr>
          <w:sz w:val="24"/>
        </w:rPr>
      </w:pPr>
      <w:r w:rsidRPr="007B14D9">
        <w:rPr>
          <w:rFonts w:hint="eastAsia"/>
          <w:sz w:val="24"/>
        </w:rPr>
        <w:t>一对一产品，风险评价得分为</w:t>
      </w:r>
      <w:r w:rsidR="00990282" w:rsidRPr="007B14D9">
        <w:rPr>
          <w:rFonts w:hint="eastAsia"/>
          <w:sz w:val="24"/>
        </w:rPr>
        <w:t>1</w:t>
      </w:r>
      <w:r w:rsidR="001B45CD" w:rsidRPr="007B14D9">
        <w:rPr>
          <w:rFonts w:hint="eastAsia"/>
          <w:sz w:val="24"/>
        </w:rPr>
        <w:t>分；</w:t>
      </w:r>
    </w:p>
    <w:p w:rsidR="001B45CD" w:rsidRPr="007B14D9" w:rsidRDefault="001B45CD" w:rsidP="001B45CD">
      <w:pPr>
        <w:spacing w:line="360" w:lineRule="auto"/>
        <w:ind w:firstLineChars="200" w:firstLine="480"/>
        <w:rPr>
          <w:sz w:val="24"/>
        </w:rPr>
      </w:pPr>
      <w:r w:rsidRPr="007B14D9">
        <w:rPr>
          <w:rFonts w:hint="eastAsia"/>
          <w:sz w:val="24"/>
        </w:rPr>
        <w:t>一对多产品，风险评价得分为</w:t>
      </w:r>
      <w:r w:rsidRPr="007B14D9">
        <w:rPr>
          <w:rFonts w:hint="eastAsia"/>
          <w:sz w:val="24"/>
        </w:rPr>
        <w:t>0</w:t>
      </w:r>
      <w:r w:rsidRPr="007B14D9">
        <w:rPr>
          <w:rFonts w:hint="eastAsia"/>
          <w:sz w:val="24"/>
        </w:rPr>
        <w:t>分。</w:t>
      </w:r>
    </w:p>
    <w:p w:rsidR="00720366" w:rsidRPr="008E7EDF" w:rsidRDefault="00720366" w:rsidP="008E7EDF">
      <w:pPr>
        <w:spacing w:line="360" w:lineRule="auto"/>
        <w:ind w:firstLineChars="200" w:firstLine="480"/>
        <w:rPr>
          <w:sz w:val="24"/>
        </w:rPr>
      </w:pPr>
      <w:r w:rsidRPr="008E7EDF">
        <w:rPr>
          <w:rFonts w:hint="eastAsia"/>
          <w:sz w:val="24"/>
        </w:rPr>
        <w:t>2</w:t>
      </w:r>
      <w:r w:rsidRPr="008E7EDF">
        <w:rPr>
          <w:rFonts w:hint="eastAsia"/>
          <w:sz w:val="24"/>
        </w:rPr>
        <w:t>．定量分析方法</w:t>
      </w:r>
    </w:p>
    <w:p w:rsidR="0021107F" w:rsidRPr="008E7EDF" w:rsidRDefault="0021107F" w:rsidP="008E7EDF">
      <w:pPr>
        <w:spacing w:line="360" w:lineRule="auto"/>
        <w:ind w:firstLineChars="200" w:firstLine="480"/>
        <w:rPr>
          <w:sz w:val="24"/>
        </w:rPr>
      </w:pPr>
      <w:r w:rsidRPr="008E7EDF">
        <w:rPr>
          <w:rFonts w:hint="eastAsia"/>
          <w:sz w:val="24"/>
        </w:rPr>
        <w:t>（</w:t>
      </w:r>
      <w:r w:rsidRPr="008E7EDF">
        <w:rPr>
          <w:rFonts w:hint="eastAsia"/>
          <w:sz w:val="24"/>
        </w:rPr>
        <w:t>1</w:t>
      </w:r>
      <w:r w:rsidRPr="008E7EDF">
        <w:rPr>
          <w:rFonts w:hint="eastAsia"/>
          <w:sz w:val="24"/>
        </w:rPr>
        <w:t>）专户成立以来有无违规行为发生：</w:t>
      </w:r>
    </w:p>
    <w:p w:rsidR="0021107F" w:rsidRPr="00956D08" w:rsidRDefault="0021107F" w:rsidP="0021107F">
      <w:pPr>
        <w:spacing w:line="360" w:lineRule="auto"/>
        <w:ind w:firstLineChars="200" w:firstLine="480"/>
        <w:rPr>
          <w:sz w:val="24"/>
        </w:rPr>
      </w:pPr>
      <w:r w:rsidRPr="00956D08">
        <w:rPr>
          <w:rFonts w:hint="eastAsia"/>
          <w:sz w:val="24"/>
        </w:rPr>
        <w:t>专户成立以来有重大违规行为发生的，风险评价得分为</w:t>
      </w:r>
      <w:r w:rsidRPr="00956D08">
        <w:rPr>
          <w:rFonts w:hint="eastAsia"/>
          <w:sz w:val="24"/>
        </w:rPr>
        <w:t>3</w:t>
      </w:r>
      <w:r w:rsidRPr="00956D08">
        <w:rPr>
          <w:rFonts w:hint="eastAsia"/>
          <w:sz w:val="24"/>
        </w:rPr>
        <w:t>分；</w:t>
      </w:r>
    </w:p>
    <w:p w:rsidR="0021107F" w:rsidRPr="00956D08" w:rsidRDefault="0021107F" w:rsidP="0021107F">
      <w:pPr>
        <w:spacing w:line="360" w:lineRule="auto"/>
        <w:ind w:firstLineChars="200" w:firstLine="480"/>
        <w:rPr>
          <w:sz w:val="24"/>
        </w:rPr>
      </w:pPr>
      <w:r w:rsidRPr="00956D08">
        <w:rPr>
          <w:rFonts w:hint="eastAsia"/>
          <w:sz w:val="24"/>
        </w:rPr>
        <w:t>专户成立以来有一般违规行为发生的，风险评价得分为</w:t>
      </w:r>
      <w:r w:rsidRPr="00956D08">
        <w:rPr>
          <w:rFonts w:hint="eastAsia"/>
          <w:sz w:val="24"/>
        </w:rPr>
        <w:t>2</w:t>
      </w:r>
      <w:r w:rsidRPr="00956D08">
        <w:rPr>
          <w:rFonts w:hint="eastAsia"/>
          <w:sz w:val="24"/>
        </w:rPr>
        <w:t>分；</w:t>
      </w:r>
    </w:p>
    <w:p w:rsidR="0021107F" w:rsidRPr="00956D08" w:rsidRDefault="0021107F" w:rsidP="0021107F">
      <w:pPr>
        <w:spacing w:line="360" w:lineRule="auto"/>
        <w:ind w:firstLineChars="200" w:firstLine="480"/>
        <w:rPr>
          <w:sz w:val="24"/>
        </w:rPr>
      </w:pPr>
      <w:r w:rsidRPr="00956D08">
        <w:rPr>
          <w:rFonts w:hint="eastAsia"/>
          <w:sz w:val="24"/>
        </w:rPr>
        <w:t>专户成立以来无违规行为发生的，风险评价得分为</w:t>
      </w:r>
      <w:r w:rsidRPr="00956D08">
        <w:rPr>
          <w:rFonts w:hint="eastAsia"/>
          <w:sz w:val="24"/>
        </w:rPr>
        <w:t>0</w:t>
      </w:r>
      <w:r w:rsidRPr="00956D08">
        <w:rPr>
          <w:rFonts w:hint="eastAsia"/>
          <w:sz w:val="24"/>
        </w:rPr>
        <w:t>分。</w:t>
      </w:r>
    </w:p>
    <w:p w:rsidR="001B45CD" w:rsidRPr="008E7EDF" w:rsidRDefault="001B45CD" w:rsidP="008E7EDF">
      <w:pPr>
        <w:spacing w:line="360" w:lineRule="auto"/>
        <w:ind w:firstLineChars="200" w:firstLine="480"/>
        <w:rPr>
          <w:sz w:val="24"/>
        </w:rPr>
      </w:pPr>
      <w:r w:rsidRPr="008E7EDF">
        <w:rPr>
          <w:rFonts w:hint="eastAsia"/>
          <w:sz w:val="24"/>
        </w:rPr>
        <w:t>（</w:t>
      </w:r>
      <w:r w:rsidR="0021107F" w:rsidRPr="008E7EDF">
        <w:rPr>
          <w:rFonts w:hint="eastAsia"/>
          <w:sz w:val="24"/>
        </w:rPr>
        <w:t>2</w:t>
      </w:r>
      <w:r w:rsidRPr="008E7EDF">
        <w:rPr>
          <w:rFonts w:hint="eastAsia"/>
          <w:sz w:val="24"/>
        </w:rPr>
        <w:t>）根据专户的杠杆情况进行打分</w:t>
      </w:r>
    </w:p>
    <w:p w:rsidR="001B45CD" w:rsidRPr="007B14D9" w:rsidRDefault="001B45CD" w:rsidP="001B45CD">
      <w:pPr>
        <w:spacing w:line="360" w:lineRule="auto"/>
        <w:ind w:firstLineChars="200" w:firstLine="480"/>
        <w:rPr>
          <w:b/>
          <w:sz w:val="24"/>
        </w:rPr>
      </w:pPr>
      <w:r w:rsidRPr="007B14D9">
        <w:rPr>
          <w:rFonts w:hint="eastAsia"/>
          <w:sz w:val="24"/>
        </w:rPr>
        <w:t>总资产</w:t>
      </w:r>
      <w:r w:rsidRPr="007B14D9">
        <w:rPr>
          <w:rFonts w:hint="eastAsia"/>
          <w:sz w:val="24"/>
        </w:rPr>
        <w:t>/</w:t>
      </w:r>
      <w:r w:rsidRPr="007B14D9">
        <w:rPr>
          <w:rFonts w:hint="eastAsia"/>
          <w:sz w:val="24"/>
        </w:rPr>
        <w:t>净资产上限</w:t>
      </w:r>
      <w:r w:rsidRPr="007B14D9">
        <w:rPr>
          <w:rFonts w:hint="eastAsia"/>
          <w:sz w:val="24"/>
        </w:rPr>
        <w:t>&gt;1</w:t>
      </w:r>
      <w:r w:rsidR="0045689F" w:rsidRPr="007B14D9">
        <w:rPr>
          <w:rFonts w:hint="eastAsia"/>
          <w:sz w:val="24"/>
        </w:rPr>
        <w:t>40</w:t>
      </w:r>
      <w:r w:rsidRPr="007B14D9">
        <w:rPr>
          <w:rFonts w:hint="eastAsia"/>
          <w:sz w:val="24"/>
        </w:rPr>
        <w:t>%</w:t>
      </w:r>
      <w:r w:rsidRPr="007B14D9">
        <w:rPr>
          <w:rFonts w:hint="eastAsia"/>
          <w:sz w:val="24"/>
        </w:rPr>
        <w:t>，风险评价得分为</w:t>
      </w:r>
      <w:r w:rsidRPr="007B14D9">
        <w:rPr>
          <w:rFonts w:hint="eastAsia"/>
          <w:sz w:val="24"/>
        </w:rPr>
        <w:t>1</w:t>
      </w:r>
      <w:r w:rsidRPr="007B14D9">
        <w:rPr>
          <w:rFonts w:hint="eastAsia"/>
          <w:sz w:val="24"/>
        </w:rPr>
        <w:t>分；</w:t>
      </w:r>
    </w:p>
    <w:p w:rsidR="001B45CD" w:rsidRPr="007B14D9" w:rsidRDefault="001B45CD" w:rsidP="001B45CD">
      <w:pPr>
        <w:spacing w:line="360" w:lineRule="auto"/>
        <w:ind w:firstLineChars="200" w:firstLine="480"/>
        <w:rPr>
          <w:sz w:val="24"/>
        </w:rPr>
      </w:pPr>
      <w:r w:rsidRPr="007B14D9">
        <w:rPr>
          <w:rFonts w:hint="eastAsia"/>
          <w:sz w:val="24"/>
        </w:rPr>
        <w:t>总资产</w:t>
      </w:r>
      <w:r w:rsidRPr="007B14D9">
        <w:rPr>
          <w:rFonts w:hint="eastAsia"/>
          <w:sz w:val="24"/>
        </w:rPr>
        <w:t>/</w:t>
      </w:r>
      <w:r w:rsidRPr="007B14D9">
        <w:rPr>
          <w:rFonts w:hint="eastAsia"/>
          <w:sz w:val="24"/>
        </w:rPr>
        <w:t>净资产上限</w:t>
      </w:r>
      <w:r w:rsidR="0045689F" w:rsidRPr="007B14D9">
        <w:rPr>
          <w:rFonts w:ascii="宋体" w:hAnsi="宋体" w:hint="eastAsia"/>
          <w:sz w:val="24"/>
        </w:rPr>
        <w:t>≤</w:t>
      </w:r>
      <w:r w:rsidRPr="007B14D9">
        <w:rPr>
          <w:rFonts w:hint="eastAsia"/>
          <w:sz w:val="24"/>
        </w:rPr>
        <w:t>1</w:t>
      </w:r>
      <w:r w:rsidR="0045689F" w:rsidRPr="007B14D9">
        <w:rPr>
          <w:rFonts w:hint="eastAsia"/>
          <w:sz w:val="24"/>
        </w:rPr>
        <w:t>4</w:t>
      </w:r>
      <w:r w:rsidRPr="007B14D9">
        <w:rPr>
          <w:rFonts w:hint="eastAsia"/>
          <w:sz w:val="24"/>
        </w:rPr>
        <w:t>0%</w:t>
      </w:r>
      <w:r w:rsidRPr="007B14D9">
        <w:rPr>
          <w:rFonts w:hint="eastAsia"/>
          <w:sz w:val="24"/>
        </w:rPr>
        <w:t>，风险评价得分为</w:t>
      </w:r>
      <w:r w:rsidRPr="007B14D9">
        <w:rPr>
          <w:rFonts w:hint="eastAsia"/>
          <w:sz w:val="24"/>
        </w:rPr>
        <w:t>0</w:t>
      </w:r>
      <w:r w:rsidRPr="007B14D9">
        <w:rPr>
          <w:rFonts w:hint="eastAsia"/>
          <w:sz w:val="24"/>
        </w:rPr>
        <w:t>分。</w:t>
      </w:r>
    </w:p>
    <w:p w:rsidR="00720366" w:rsidRPr="008E7EDF" w:rsidRDefault="00720366" w:rsidP="008E7EDF">
      <w:pPr>
        <w:spacing w:line="360" w:lineRule="auto"/>
        <w:ind w:firstLineChars="200" w:firstLine="480"/>
        <w:rPr>
          <w:sz w:val="24"/>
        </w:rPr>
      </w:pPr>
      <w:r w:rsidRPr="008E7EDF">
        <w:rPr>
          <w:rFonts w:hint="eastAsia"/>
          <w:sz w:val="24"/>
        </w:rPr>
        <w:t>（</w:t>
      </w:r>
      <w:r w:rsidR="0021107F" w:rsidRPr="008E7EDF">
        <w:rPr>
          <w:rFonts w:hint="eastAsia"/>
          <w:sz w:val="24"/>
        </w:rPr>
        <w:t>3</w:t>
      </w:r>
      <w:r w:rsidRPr="008E7EDF">
        <w:rPr>
          <w:rFonts w:hint="eastAsia"/>
          <w:sz w:val="24"/>
        </w:rPr>
        <w:t>）根据专户</w:t>
      </w:r>
      <w:r w:rsidR="00E45477" w:rsidRPr="008E7EDF">
        <w:rPr>
          <w:rFonts w:hint="eastAsia"/>
          <w:sz w:val="24"/>
        </w:rPr>
        <w:t>结构化比例</w:t>
      </w:r>
      <w:r w:rsidRPr="008E7EDF">
        <w:rPr>
          <w:rFonts w:hint="eastAsia"/>
          <w:sz w:val="24"/>
        </w:rPr>
        <w:t>进行打分</w:t>
      </w:r>
      <w:r w:rsidR="0068258E">
        <w:rPr>
          <w:rFonts w:hint="eastAsia"/>
          <w:sz w:val="24"/>
        </w:rPr>
        <w:t>（中间级份额计入优先级份额）</w:t>
      </w:r>
    </w:p>
    <w:p w:rsidR="00720366" w:rsidRPr="007B14D9" w:rsidRDefault="001B45CD" w:rsidP="00720366">
      <w:pPr>
        <w:spacing w:line="360" w:lineRule="auto"/>
        <w:ind w:firstLineChars="200" w:firstLine="480"/>
        <w:rPr>
          <w:sz w:val="24"/>
        </w:rPr>
      </w:pPr>
      <w:r w:rsidRPr="007B14D9">
        <w:rPr>
          <w:rFonts w:hint="eastAsia"/>
          <w:sz w:val="24"/>
        </w:rPr>
        <w:t>优先</w:t>
      </w:r>
      <w:r w:rsidRPr="007B14D9">
        <w:rPr>
          <w:rFonts w:hint="eastAsia"/>
          <w:sz w:val="24"/>
        </w:rPr>
        <w:t>/</w:t>
      </w:r>
      <w:r w:rsidRPr="007B14D9">
        <w:rPr>
          <w:rFonts w:hint="eastAsia"/>
          <w:sz w:val="24"/>
        </w:rPr>
        <w:t>劣后杠杆比率</w:t>
      </w:r>
      <w:r w:rsidR="00720366" w:rsidRPr="007B14D9">
        <w:rPr>
          <w:rFonts w:hint="eastAsia"/>
          <w:sz w:val="24"/>
        </w:rPr>
        <w:t>&gt;1</w:t>
      </w:r>
      <w:r w:rsidR="00720366" w:rsidRPr="007B14D9">
        <w:rPr>
          <w:rFonts w:hint="eastAsia"/>
          <w:sz w:val="24"/>
        </w:rPr>
        <w:t>，风险评价得分为</w:t>
      </w:r>
      <w:r w:rsidR="00720366" w:rsidRPr="007B14D9">
        <w:rPr>
          <w:rFonts w:hint="eastAsia"/>
          <w:sz w:val="24"/>
        </w:rPr>
        <w:t>2</w:t>
      </w:r>
      <w:r w:rsidR="00720366" w:rsidRPr="007B14D9">
        <w:rPr>
          <w:rFonts w:hint="eastAsia"/>
          <w:sz w:val="24"/>
        </w:rPr>
        <w:t>分；</w:t>
      </w:r>
    </w:p>
    <w:p w:rsidR="00720366" w:rsidRPr="007B14D9" w:rsidRDefault="00720366" w:rsidP="00720366">
      <w:pPr>
        <w:spacing w:line="360" w:lineRule="auto"/>
        <w:ind w:firstLineChars="200" w:firstLine="480"/>
        <w:rPr>
          <w:sz w:val="24"/>
        </w:rPr>
      </w:pPr>
      <w:r w:rsidRPr="007B14D9">
        <w:rPr>
          <w:rFonts w:hint="eastAsia"/>
          <w:sz w:val="24"/>
        </w:rPr>
        <w:t>0&lt;</w:t>
      </w:r>
      <w:r w:rsidR="001B45CD" w:rsidRPr="007B14D9">
        <w:rPr>
          <w:rFonts w:hint="eastAsia"/>
          <w:sz w:val="24"/>
        </w:rPr>
        <w:t>优先</w:t>
      </w:r>
      <w:r w:rsidR="001B45CD" w:rsidRPr="007B14D9">
        <w:rPr>
          <w:rFonts w:hint="eastAsia"/>
          <w:sz w:val="24"/>
        </w:rPr>
        <w:t>/</w:t>
      </w:r>
      <w:r w:rsidR="001B45CD" w:rsidRPr="007B14D9">
        <w:rPr>
          <w:rFonts w:hint="eastAsia"/>
          <w:sz w:val="24"/>
        </w:rPr>
        <w:t>劣后杠杆比率</w:t>
      </w:r>
      <w:r w:rsidRPr="007B14D9">
        <w:rPr>
          <w:rFonts w:ascii="宋体" w:hAnsi="宋体" w:hint="eastAsia"/>
          <w:sz w:val="24"/>
        </w:rPr>
        <w:t>≤</w:t>
      </w:r>
      <w:r w:rsidRPr="007B14D9">
        <w:rPr>
          <w:rFonts w:hint="eastAsia"/>
          <w:sz w:val="24"/>
        </w:rPr>
        <w:t>1</w:t>
      </w:r>
      <w:r w:rsidRPr="007B14D9">
        <w:rPr>
          <w:rFonts w:hint="eastAsia"/>
          <w:sz w:val="24"/>
        </w:rPr>
        <w:t>，风险评价得分为</w:t>
      </w:r>
      <w:r w:rsidRPr="007B14D9">
        <w:rPr>
          <w:rFonts w:hint="eastAsia"/>
          <w:sz w:val="24"/>
        </w:rPr>
        <w:t>1</w:t>
      </w:r>
      <w:r w:rsidRPr="007B14D9">
        <w:rPr>
          <w:rFonts w:hint="eastAsia"/>
          <w:sz w:val="24"/>
        </w:rPr>
        <w:t>分；</w:t>
      </w:r>
    </w:p>
    <w:p w:rsidR="00720366" w:rsidRDefault="001B45CD" w:rsidP="00720366">
      <w:pPr>
        <w:spacing w:line="360" w:lineRule="auto"/>
        <w:ind w:firstLineChars="200" w:firstLine="480"/>
        <w:rPr>
          <w:sz w:val="24"/>
        </w:rPr>
      </w:pPr>
      <w:r w:rsidRPr="007B14D9">
        <w:rPr>
          <w:rFonts w:hint="eastAsia"/>
          <w:sz w:val="24"/>
        </w:rPr>
        <w:t>优先</w:t>
      </w:r>
      <w:r w:rsidRPr="007B14D9">
        <w:rPr>
          <w:rFonts w:hint="eastAsia"/>
          <w:sz w:val="24"/>
        </w:rPr>
        <w:t>/</w:t>
      </w:r>
      <w:r w:rsidRPr="007B14D9">
        <w:rPr>
          <w:rFonts w:hint="eastAsia"/>
          <w:sz w:val="24"/>
        </w:rPr>
        <w:t>劣后杠杆比率</w:t>
      </w:r>
      <w:r w:rsidR="00720366" w:rsidRPr="007B14D9">
        <w:rPr>
          <w:rFonts w:hint="eastAsia"/>
          <w:sz w:val="24"/>
        </w:rPr>
        <w:t>=0</w:t>
      </w:r>
      <w:r w:rsidR="00720366" w:rsidRPr="007B14D9">
        <w:rPr>
          <w:rFonts w:hint="eastAsia"/>
          <w:sz w:val="24"/>
        </w:rPr>
        <w:t>，风险评价得分为</w:t>
      </w:r>
      <w:r w:rsidR="00720366" w:rsidRPr="007B14D9">
        <w:rPr>
          <w:rFonts w:hint="eastAsia"/>
          <w:sz w:val="24"/>
        </w:rPr>
        <w:t>0</w:t>
      </w:r>
      <w:r w:rsidR="00720366" w:rsidRPr="007B14D9">
        <w:rPr>
          <w:rFonts w:hint="eastAsia"/>
          <w:sz w:val="24"/>
        </w:rPr>
        <w:t>分。</w:t>
      </w:r>
    </w:p>
    <w:p w:rsidR="00720366" w:rsidRPr="008E7EDF" w:rsidRDefault="00720366" w:rsidP="008E7EDF">
      <w:pPr>
        <w:spacing w:line="360" w:lineRule="auto"/>
        <w:ind w:firstLineChars="200" w:firstLine="480"/>
        <w:rPr>
          <w:sz w:val="24"/>
        </w:rPr>
      </w:pPr>
      <w:r w:rsidRPr="008E7EDF">
        <w:rPr>
          <w:rFonts w:hint="eastAsia"/>
          <w:sz w:val="24"/>
        </w:rPr>
        <w:t>（</w:t>
      </w:r>
      <w:r w:rsidR="0021107F" w:rsidRPr="008E7EDF">
        <w:rPr>
          <w:rFonts w:hint="eastAsia"/>
          <w:sz w:val="24"/>
        </w:rPr>
        <w:t>4</w:t>
      </w:r>
      <w:r w:rsidR="00E45477" w:rsidRPr="008E7EDF">
        <w:rPr>
          <w:rFonts w:hint="eastAsia"/>
          <w:sz w:val="24"/>
        </w:rPr>
        <w:t>）根据专户的</w:t>
      </w:r>
      <w:r w:rsidRPr="008E7EDF">
        <w:rPr>
          <w:rFonts w:hint="eastAsia"/>
          <w:sz w:val="24"/>
        </w:rPr>
        <w:t>过往业绩进行打分</w:t>
      </w:r>
    </w:p>
    <w:p w:rsidR="00720366" w:rsidRPr="007B14D9" w:rsidRDefault="001B45CD" w:rsidP="00720366">
      <w:pPr>
        <w:spacing w:line="360" w:lineRule="auto"/>
        <w:ind w:firstLineChars="200" w:firstLine="480"/>
        <w:rPr>
          <w:sz w:val="24"/>
        </w:rPr>
      </w:pPr>
      <w:r w:rsidRPr="007B14D9">
        <w:rPr>
          <w:rFonts w:hint="eastAsia"/>
          <w:sz w:val="24"/>
        </w:rPr>
        <w:lastRenderedPageBreak/>
        <w:t>过去一年净值增长率</w:t>
      </w:r>
      <w:r w:rsidR="00720366" w:rsidRPr="007B14D9">
        <w:rPr>
          <w:rFonts w:ascii="宋体" w:hAnsi="宋体" w:hint="eastAsia"/>
          <w:sz w:val="24"/>
        </w:rPr>
        <w:t>≤</w:t>
      </w:r>
      <w:r w:rsidRPr="007B14D9">
        <w:rPr>
          <w:rFonts w:ascii="宋体" w:hAnsi="宋体" w:hint="eastAsia"/>
          <w:sz w:val="24"/>
        </w:rPr>
        <w:t>-</w:t>
      </w:r>
      <w:r w:rsidRPr="007B14D9">
        <w:rPr>
          <w:rFonts w:hint="eastAsia"/>
          <w:sz w:val="24"/>
        </w:rPr>
        <w:t>10%</w:t>
      </w:r>
      <w:r w:rsidR="00720366" w:rsidRPr="007B14D9">
        <w:rPr>
          <w:rFonts w:hint="eastAsia"/>
          <w:sz w:val="24"/>
        </w:rPr>
        <w:t>的，风险评价得分为</w:t>
      </w:r>
      <w:r w:rsidR="00720366" w:rsidRPr="007B14D9">
        <w:rPr>
          <w:rFonts w:hint="eastAsia"/>
          <w:sz w:val="24"/>
        </w:rPr>
        <w:t>2</w:t>
      </w:r>
      <w:r w:rsidR="00720366" w:rsidRPr="007B14D9">
        <w:rPr>
          <w:rFonts w:hint="eastAsia"/>
          <w:sz w:val="24"/>
        </w:rPr>
        <w:t>分；</w:t>
      </w:r>
    </w:p>
    <w:p w:rsidR="00720366" w:rsidRPr="007B14D9" w:rsidRDefault="001B45CD" w:rsidP="00720366">
      <w:pPr>
        <w:spacing w:line="360" w:lineRule="auto"/>
        <w:ind w:firstLineChars="200" w:firstLine="480"/>
        <w:rPr>
          <w:sz w:val="24"/>
        </w:rPr>
      </w:pPr>
      <w:r w:rsidRPr="007B14D9">
        <w:rPr>
          <w:rFonts w:ascii="宋体" w:hAnsi="宋体" w:hint="eastAsia"/>
          <w:sz w:val="24"/>
        </w:rPr>
        <w:t>-</w:t>
      </w:r>
      <w:r w:rsidRPr="007B14D9">
        <w:rPr>
          <w:rFonts w:hint="eastAsia"/>
          <w:sz w:val="24"/>
        </w:rPr>
        <w:t>10%</w:t>
      </w:r>
      <w:r w:rsidR="00720366" w:rsidRPr="007B14D9">
        <w:rPr>
          <w:rFonts w:ascii="宋体" w:hAnsi="宋体" w:hint="eastAsia"/>
          <w:sz w:val="24"/>
        </w:rPr>
        <w:t>﹤</w:t>
      </w:r>
      <w:r w:rsidRPr="007B14D9">
        <w:rPr>
          <w:rFonts w:hint="eastAsia"/>
          <w:sz w:val="24"/>
        </w:rPr>
        <w:t>过去一年净值增长率</w:t>
      </w:r>
      <w:r w:rsidR="00720366" w:rsidRPr="007B14D9">
        <w:rPr>
          <w:rFonts w:ascii="宋体" w:hAnsi="宋体" w:hint="eastAsia"/>
          <w:sz w:val="24"/>
        </w:rPr>
        <w:t>﹤</w:t>
      </w:r>
      <w:r w:rsidRPr="007B14D9">
        <w:rPr>
          <w:rFonts w:ascii="宋体" w:hAnsi="宋体" w:hint="eastAsia"/>
          <w:sz w:val="24"/>
        </w:rPr>
        <w:t>0%</w:t>
      </w:r>
      <w:r w:rsidR="00720366" w:rsidRPr="007B14D9">
        <w:rPr>
          <w:rFonts w:hint="eastAsia"/>
          <w:sz w:val="24"/>
        </w:rPr>
        <w:t>的，风险评价得分为</w:t>
      </w:r>
      <w:r w:rsidR="00720366" w:rsidRPr="007B14D9">
        <w:rPr>
          <w:rFonts w:hint="eastAsia"/>
          <w:sz w:val="24"/>
        </w:rPr>
        <w:t>1</w:t>
      </w:r>
      <w:r w:rsidR="00720366" w:rsidRPr="007B14D9">
        <w:rPr>
          <w:rFonts w:hint="eastAsia"/>
          <w:sz w:val="24"/>
        </w:rPr>
        <w:t>分；</w:t>
      </w:r>
    </w:p>
    <w:p w:rsidR="00720366" w:rsidRPr="007B14D9" w:rsidRDefault="001B45CD" w:rsidP="00720366">
      <w:pPr>
        <w:spacing w:line="360" w:lineRule="auto"/>
        <w:ind w:firstLineChars="200" w:firstLine="480"/>
        <w:rPr>
          <w:sz w:val="24"/>
        </w:rPr>
      </w:pPr>
      <w:r w:rsidRPr="007B14D9">
        <w:rPr>
          <w:rFonts w:hint="eastAsia"/>
          <w:sz w:val="24"/>
        </w:rPr>
        <w:t>过去一年净值增长率</w:t>
      </w:r>
      <w:r w:rsidR="00720366" w:rsidRPr="007B14D9">
        <w:rPr>
          <w:rFonts w:ascii="宋体" w:hAnsi="宋体" w:hint="eastAsia"/>
          <w:sz w:val="24"/>
        </w:rPr>
        <w:t>≥</w:t>
      </w:r>
      <w:r w:rsidRPr="007B14D9">
        <w:rPr>
          <w:rFonts w:hint="eastAsia"/>
          <w:sz w:val="24"/>
        </w:rPr>
        <w:t>0%</w:t>
      </w:r>
      <w:r w:rsidR="00720366" w:rsidRPr="007B14D9">
        <w:rPr>
          <w:rFonts w:hint="eastAsia"/>
          <w:sz w:val="24"/>
        </w:rPr>
        <w:t>的，风险评价得分为</w:t>
      </w:r>
      <w:r w:rsidR="00720366" w:rsidRPr="007B14D9">
        <w:rPr>
          <w:rFonts w:hint="eastAsia"/>
          <w:sz w:val="24"/>
        </w:rPr>
        <w:t>0</w:t>
      </w:r>
      <w:r w:rsidR="00720366" w:rsidRPr="007B14D9">
        <w:rPr>
          <w:rFonts w:hint="eastAsia"/>
          <w:sz w:val="24"/>
        </w:rPr>
        <w:t>分。</w:t>
      </w:r>
      <w:r w:rsidR="00720366" w:rsidRPr="007B14D9">
        <w:rPr>
          <w:rFonts w:hint="eastAsia"/>
          <w:sz w:val="24"/>
        </w:rPr>
        <w:t xml:space="preserve"> </w:t>
      </w:r>
    </w:p>
    <w:p w:rsidR="00720366" w:rsidRPr="008E7EDF" w:rsidRDefault="00720366" w:rsidP="008E7EDF">
      <w:pPr>
        <w:spacing w:line="360" w:lineRule="auto"/>
        <w:ind w:firstLineChars="200" w:firstLine="480"/>
        <w:rPr>
          <w:sz w:val="24"/>
        </w:rPr>
      </w:pPr>
      <w:r w:rsidRPr="008E7EDF">
        <w:rPr>
          <w:rFonts w:hint="eastAsia"/>
          <w:sz w:val="24"/>
        </w:rPr>
        <w:t>3</w:t>
      </w:r>
      <w:r w:rsidRPr="008E7EDF">
        <w:rPr>
          <w:rFonts w:hint="eastAsia"/>
          <w:sz w:val="24"/>
        </w:rPr>
        <w:t>．</w:t>
      </w:r>
      <w:r w:rsidR="007F62CA" w:rsidRPr="008E7EDF">
        <w:rPr>
          <w:rFonts w:hint="eastAsia"/>
          <w:sz w:val="24"/>
        </w:rPr>
        <w:t>管理人在进行风险评级时，可综合产品的以下因素，根据具体情况给予风险附加分</w:t>
      </w:r>
      <w:r w:rsidRPr="008E7EDF">
        <w:rPr>
          <w:sz w:val="24"/>
        </w:rPr>
        <w:t>：</w:t>
      </w:r>
    </w:p>
    <w:p w:rsidR="0021107F" w:rsidRPr="00956D08" w:rsidRDefault="0021107F" w:rsidP="00956D08">
      <w:pPr>
        <w:spacing w:line="360" w:lineRule="auto"/>
        <w:ind w:firstLineChars="200" w:firstLine="480"/>
        <w:rPr>
          <w:sz w:val="24"/>
        </w:rPr>
      </w:pPr>
      <w:r w:rsidRPr="00956D08">
        <w:rPr>
          <w:rFonts w:hint="eastAsia"/>
          <w:sz w:val="24"/>
        </w:rPr>
        <w:t>A</w:t>
      </w:r>
      <w:r w:rsidRPr="00956D08">
        <w:rPr>
          <w:rFonts w:hint="eastAsia"/>
          <w:sz w:val="24"/>
        </w:rPr>
        <w:t>、发行人等相关主体的信用状况；</w:t>
      </w:r>
    </w:p>
    <w:p w:rsidR="0021107F" w:rsidRPr="00956D08" w:rsidRDefault="0021107F" w:rsidP="00956D08">
      <w:pPr>
        <w:spacing w:line="360" w:lineRule="auto"/>
        <w:ind w:firstLineChars="200" w:firstLine="480"/>
        <w:rPr>
          <w:sz w:val="24"/>
        </w:rPr>
      </w:pPr>
      <w:r w:rsidRPr="00956D08">
        <w:rPr>
          <w:rFonts w:hint="eastAsia"/>
          <w:sz w:val="24"/>
        </w:rPr>
        <w:t>B</w:t>
      </w:r>
      <w:r w:rsidRPr="00956D08">
        <w:rPr>
          <w:rFonts w:hint="eastAsia"/>
          <w:sz w:val="24"/>
        </w:rPr>
        <w:t>、存在本金损失的可能性，因杠杆交易等因素容易导致本金大部分或者全部损失的产品；</w:t>
      </w:r>
    </w:p>
    <w:p w:rsidR="0021107F" w:rsidRPr="00956D08" w:rsidRDefault="0021107F" w:rsidP="0021107F">
      <w:pPr>
        <w:spacing w:line="360" w:lineRule="auto"/>
        <w:ind w:firstLine="420"/>
        <w:rPr>
          <w:sz w:val="24"/>
        </w:rPr>
      </w:pPr>
      <w:r w:rsidRPr="00956D08">
        <w:rPr>
          <w:rFonts w:hint="eastAsia"/>
          <w:sz w:val="24"/>
        </w:rPr>
        <w:t>C</w:t>
      </w:r>
      <w:r w:rsidRPr="00956D08">
        <w:rPr>
          <w:rFonts w:hint="eastAsia"/>
          <w:sz w:val="24"/>
        </w:rPr>
        <w:t>、产品变现能力差，因无公开交易市场、参与投资者少等因素导致难以在短期内以合理价格顺利变现的产品；</w:t>
      </w:r>
    </w:p>
    <w:p w:rsidR="0021107F" w:rsidRPr="00956D08" w:rsidRDefault="0021107F" w:rsidP="0021107F">
      <w:pPr>
        <w:spacing w:line="360" w:lineRule="auto"/>
        <w:ind w:firstLine="420"/>
        <w:rPr>
          <w:sz w:val="24"/>
        </w:rPr>
      </w:pPr>
      <w:r w:rsidRPr="00956D08">
        <w:rPr>
          <w:rFonts w:hint="eastAsia"/>
          <w:sz w:val="24"/>
        </w:rPr>
        <w:t>D</w:t>
      </w:r>
      <w:r w:rsidRPr="00956D08">
        <w:rPr>
          <w:rFonts w:hint="eastAsia"/>
          <w:sz w:val="24"/>
        </w:rPr>
        <w:t>、标的流动性差及不易估值，因投资标的流动性差，存在非标准资产投资导致不易估值的产品；</w:t>
      </w:r>
    </w:p>
    <w:p w:rsidR="0021107F" w:rsidRPr="00956D08" w:rsidRDefault="0021107F" w:rsidP="00956D08">
      <w:pPr>
        <w:spacing w:line="360" w:lineRule="auto"/>
        <w:ind w:firstLineChars="200" w:firstLine="480"/>
        <w:rPr>
          <w:sz w:val="24"/>
        </w:rPr>
      </w:pPr>
      <w:r w:rsidRPr="00956D08">
        <w:rPr>
          <w:rFonts w:hint="eastAsia"/>
          <w:sz w:val="24"/>
        </w:rPr>
        <w:t>E</w:t>
      </w:r>
      <w:r w:rsidRPr="00956D08">
        <w:rPr>
          <w:rFonts w:hint="eastAsia"/>
          <w:sz w:val="24"/>
        </w:rPr>
        <w:t>、可理解性差，因合同表述复杂，存在免责条款、结构性安排、投资标的具有衍生品性质等，导致普通投资者难以理解的产品；</w:t>
      </w:r>
    </w:p>
    <w:p w:rsidR="0021107F" w:rsidRPr="00956D08" w:rsidRDefault="0021107F" w:rsidP="00956D08">
      <w:pPr>
        <w:spacing w:line="360" w:lineRule="auto"/>
        <w:ind w:firstLineChars="200" w:firstLine="480"/>
        <w:rPr>
          <w:sz w:val="24"/>
        </w:rPr>
      </w:pPr>
      <w:r w:rsidRPr="00956D08">
        <w:rPr>
          <w:rFonts w:hint="eastAsia"/>
          <w:sz w:val="24"/>
        </w:rPr>
        <w:t>F</w:t>
      </w:r>
      <w:r w:rsidRPr="00956D08">
        <w:rPr>
          <w:rFonts w:hint="eastAsia"/>
          <w:sz w:val="24"/>
        </w:rPr>
        <w:t>、</w:t>
      </w:r>
      <w:r w:rsidR="00BD10F5" w:rsidRPr="00956D08">
        <w:rPr>
          <w:rFonts w:hint="eastAsia"/>
          <w:sz w:val="24"/>
        </w:rPr>
        <w:t>杠杆及集中度</w:t>
      </w:r>
      <w:r w:rsidRPr="00956D08">
        <w:rPr>
          <w:rFonts w:hint="eastAsia"/>
          <w:sz w:val="24"/>
        </w:rPr>
        <w:t>，因投资杠杆达到相关要求上线、投资单一标的集中度过高的产品；</w:t>
      </w:r>
    </w:p>
    <w:p w:rsidR="0021107F" w:rsidRPr="00956D08" w:rsidRDefault="0021107F" w:rsidP="00956D08">
      <w:pPr>
        <w:spacing w:line="360" w:lineRule="auto"/>
        <w:ind w:firstLineChars="200" w:firstLine="480"/>
        <w:rPr>
          <w:sz w:val="24"/>
        </w:rPr>
      </w:pPr>
      <w:r w:rsidRPr="00956D08">
        <w:rPr>
          <w:rFonts w:hint="eastAsia"/>
          <w:sz w:val="24"/>
        </w:rPr>
        <w:t>G</w:t>
      </w:r>
      <w:r w:rsidRPr="00956D08">
        <w:rPr>
          <w:rFonts w:hint="eastAsia"/>
          <w:sz w:val="24"/>
        </w:rPr>
        <w:t>、跨境因素，存在市场差异、适用境外法律等情形的跨境发行或者交易的产品；</w:t>
      </w:r>
    </w:p>
    <w:p w:rsidR="0021107F" w:rsidRPr="00956D08" w:rsidRDefault="0021107F" w:rsidP="00956D08">
      <w:pPr>
        <w:spacing w:line="360" w:lineRule="auto"/>
        <w:ind w:firstLineChars="200" w:firstLine="480"/>
        <w:rPr>
          <w:sz w:val="24"/>
        </w:rPr>
      </w:pPr>
      <w:r w:rsidRPr="00956D08">
        <w:rPr>
          <w:rFonts w:hint="eastAsia"/>
          <w:sz w:val="24"/>
        </w:rPr>
        <w:t>H</w:t>
      </w:r>
      <w:r w:rsidRPr="00956D08">
        <w:rPr>
          <w:rFonts w:hint="eastAsia"/>
          <w:sz w:val="24"/>
        </w:rPr>
        <w:t>、募集方式，服务规模过大，影响面广，可能触发巨额赎回，易引发群体性事件的产品；</w:t>
      </w:r>
    </w:p>
    <w:p w:rsidR="0021107F" w:rsidRPr="00956D08" w:rsidRDefault="0021107F" w:rsidP="00956D08">
      <w:pPr>
        <w:spacing w:line="360" w:lineRule="auto"/>
        <w:ind w:firstLineChars="200" w:firstLine="480"/>
        <w:rPr>
          <w:sz w:val="24"/>
        </w:rPr>
      </w:pPr>
      <w:r w:rsidRPr="00956D08">
        <w:rPr>
          <w:rFonts w:hint="eastAsia"/>
          <w:sz w:val="24"/>
        </w:rPr>
        <w:t>I</w:t>
      </w:r>
      <w:r w:rsidRPr="00956D08">
        <w:rPr>
          <w:rFonts w:hint="eastAsia"/>
          <w:sz w:val="24"/>
        </w:rPr>
        <w:t>、管理人合规性，因基金管理人、实际控制人、高管人员涉嫌重大违法违规行为或正在接受监管部门或自律管理部门调查的产品；</w:t>
      </w:r>
    </w:p>
    <w:p w:rsidR="0021107F" w:rsidRPr="00956D08" w:rsidRDefault="0021107F" w:rsidP="00956D08">
      <w:pPr>
        <w:spacing w:line="360" w:lineRule="auto"/>
        <w:ind w:firstLineChars="200" w:firstLine="480"/>
        <w:rPr>
          <w:sz w:val="24"/>
        </w:rPr>
      </w:pPr>
      <w:r w:rsidRPr="00956D08">
        <w:rPr>
          <w:rFonts w:hint="eastAsia"/>
          <w:sz w:val="24"/>
        </w:rPr>
        <w:t>J</w:t>
      </w:r>
      <w:r w:rsidRPr="00956D08">
        <w:rPr>
          <w:rFonts w:hint="eastAsia"/>
          <w:sz w:val="24"/>
        </w:rPr>
        <w:t>、重大关联交易，发生重大关联交易事项的产品；</w:t>
      </w:r>
    </w:p>
    <w:p w:rsidR="0021107F" w:rsidRPr="00956D08" w:rsidRDefault="0021107F" w:rsidP="00956D08">
      <w:pPr>
        <w:spacing w:line="360" w:lineRule="auto"/>
        <w:ind w:firstLineChars="200" w:firstLine="480"/>
        <w:rPr>
          <w:sz w:val="24"/>
        </w:rPr>
      </w:pPr>
      <w:r w:rsidRPr="00956D08">
        <w:rPr>
          <w:rFonts w:hint="eastAsia"/>
          <w:sz w:val="24"/>
        </w:rPr>
        <w:t>K</w:t>
      </w:r>
      <w:r w:rsidR="00BD10F5" w:rsidRPr="00956D08">
        <w:rPr>
          <w:rFonts w:hint="eastAsia"/>
          <w:sz w:val="24"/>
        </w:rPr>
        <w:t>、自律组织认定的高风险产品</w:t>
      </w:r>
      <w:r w:rsidRPr="00956D08">
        <w:rPr>
          <w:rFonts w:hint="eastAsia"/>
          <w:sz w:val="24"/>
        </w:rPr>
        <w:t>；</w:t>
      </w:r>
    </w:p>
    <w:p w:rsidR="0021107F" w:rsidRPr="00956D08" w:rsidRDefault="0021107F" w:rsidP="00956D08">
      <w:pPr>
        <w:spacing w:line="360" w:lineRule="auto"/>
        <w:ind w:firstLineChars="200" w:firstLine="480"/>
        <w:rPr>
          <w:sz w:val="24"/>
        </w:rPr>
      </w:pPr>
      <w:r w:rsidRPr="00956D08">
        <w:rPr>
          <w:rFonts w:hint="eastAsia"/>
          <w:sz w:val="24"/>
        </w:rPr>
        <w:t>L</w:t>
      </w:r>
      <w:r w:rsidRPr="00956D08">
        <w:rPr>
          <w:rFonts w:hint="eastAsia"/>
          <w:sz w:val="24"/>
        </w:rPr>
        <w:t>、其他</w:t>
      </w:r>
      <w:r w:rsidR="00BD10F5" w:rsidRPr="00956D08">
        <w:rPr>
          <w:rFonts w:hint="eastAsia"/>
          <w:sz w:val="24"/>
        </w:rPr>
        <w:t>产品</w:t>
      </w:r>
      <w:r w:rsidRPr="00956D08">
        <w:rPr>
          <w:rFonts w:hint="eastAsia"/>
          <w:sz w:val="24"/>
        </w:rPr>
        <w:t>的特定安排有可能</w:t>
      </w:r>
      <w:r w:rsidR="004A4A8A" w:rsidRPr="004A4A8A">
        <w:rPr>
          <w:rFonts w:ascii="宋体" w:hAnsi="宋体" w:hint="eastAsia"/>
          <w:bCs/>
          <w:sz w:val="24"/>
        </w:rPr>
        <w:t>增加或削弱</w:t>
      </w:r>
      <w:r w:rsidRPr="00956D08">
        <w:rPr>
          <w:rFonts w:hint="eastAsia"/>
          <w:sz w:val="24"/>
        </w:rPr>
        <w:t>投资风险的因素。</w:t>
      </w:r>
    </w:p>
    <w:p w:rsidR="00720366" w:rsidRPr="008E7EDF" w:rsidRDefault="007F62CA" w:rsidP="008E7EDF">
      <w:pPr>
        <w:spacing w:line="360" w:lineRule="auto"/>
        <w:ind w:firstLineChars="200" w:firstLine="480"/>
        <w:rPr>
          <w:sz w:val="24"/>
        </w:rPr>
      </w:pPr>
      <w:r w:rsidRPr="008E7EDF">
        <w:rPr>
          <w:rFonts w:hint="eastAsia"/>
          <w:sz w:val="24"/>
        </w:rPr>
        <w:t>4</w:t>
      </w:r>
      <w:r w:rsidR="00720366" w:rsidRPr="008E7EDF">
        <w:rPr>
          <w:rFonts w:hint="eastAsia"/>
          <w:sz w:val="24"/>
        </w:rPr>
        <w:t>．根据专户产品风险评价得分加总值，确定风险等级：</w:t>
      </w:r>
    </w:p>
    <w:p w:rsidR="00720366" w:rsidRPr="007B14D9" w:rsidRDefault="00720366" w:rsidP="00720366">
      <w:pPr>
        <w:spacing w:line="360" w:lineRule="auto"/>
        <w:ind w:firstLineChars="200" w:firstLine="480"/>
        <w:rPr>
          <w:sz w:val="24"/>
        </w:rPr>
      </w:pPr>
      <w:r w:rsidRPr="007B14D9">
        <w:rPr>
          <w:rFonts w:hint="eastAsia"/>
          <w:sz w:val="24"/>
        </w:rPr>
        <w:t>（</w:t>
      </w:r>
      <w:r w:rsidRPr="007B14D9">
        <w:rPr>
          <w:rFonts w:hint="eastAsia"/>
          <w:sz w:val="24"/>
        </w:rPr>
        <w:t>1</w:t>
      </w:r>
      <w:r w:rsidRPr="007B14D9">
        <w:rPr>
          <w:rFonts w:hint="eastAsia"/>
          <w:sz w:val="24"/>
        </w:rPr>
        <w:t>）</w:t>
      </w:r>
      <w:r w:rsidR="00956D08">
        <w:rPr>
          <w:rFonts w:hint="eastAsia"/>
          <w:sz w:val="24"/>
        </w:rPr>
        <w:t>R1</w:t>
      </w:r>
      <w:r w:rsidRPr="007B14D9">
        <w:rPr>
          <w:rFonts w:hint="eastAsia"/>
          <w:sz w:val="24"/>
        </w:rPr>
        <w:t>等级：分值为</w:t>
      </w:r>
      <w:r w:rsidRPr="007B14D9">
        <w:rPr>
          <w:rFonts w:hint="eastAsia"/>
          <w:sz w:val="24"/>
        </w:rPr>
        <w:t>14</w:t>
      </w:r>
      <w:r w:rsidRPr="007B14D9">
        <w:rPr>
          <w:rFonts w:hint="eastAsia"/>
          <w:sz w:val="24"/>
        </w:rPr>
        <w:t>分及以下；</w:t>
      </w:r>
    </w:p>
    <w:p w:rsidR="00720366" w:rsidRPr="007B14D9" w:rsidRDefault="00720366" w:rsidP="00720366">
      <w:pPr>
        <w:spacing w:line="360" w:lineRule="auto"/>
        <w:ind w:firstLineChars="200" w:firstLine="480"/>
        <w:rPr>
          <w:sz w:val="24"/>
        </w:rPr>
      </w:pPr>
      <w:r w:rsidRPr="007B14D9">
        <w:rPr>
          <w:rFonts w:hint="eastAsia"/>
          <w:sz w:val="24"/>
        </w:rPr>
        <w:t>（</w:t>
      </w:r>
      <w:r w:rsidRPr="007B14D9">
        <w:rPr>
          <w:rFonts w:hint="eastAsia"/>
          <w:sz w:val="24"/>
        </w:rPr>
        <w:t>2</w:t>
      </w:r>
      <w:r w:rsidRPr="007B14D9">
        <w:rPr>
          <w:rFonts w:hint="eastAsia"/>
          <w:sz w:val="24"/>
        </w:rPr>
        <w:t>）</w:t>
      </w:r>
      <w:r w:rsidR="00956D08">
        <w:rPr>
          <w:rFonts w:hint="eastAsia"/>
          <w:sz w:val="24"/>
        </w:rPr>
        <w:t>R2</w:t>
      </w:r>
      <w:r w:rsidRPr="007B14D9">
        <w:rPr>
          <w:rFonts w:hint="eastAsia"/>
          <w:sz w:val="24"/>
        </w:rPr>
        <w:t>等级：分值为</w:t>
      </w:r>
      <w:r w:rsidRPr="007B14D9">
        <w:rPr>
          <w:rFonts w:hint="eastAsia"/>
          <w:sz w:val="24"/>
        </w:rPr>
        <w:t>15</w:t>
      </w:r>
      <w:r w:rsidRPr="007B14D9">
        <w:rPr>
          <w:rFonts w:hint="eastAsia"/>
          <w:sz w:val="24"/>
        </w:rPr>
        <w:t>～</w:t>
      </w:r>
      <w:r w:rsidRPr="007B14D9">
        <w:rPr>
          <w:rFonts w:hint="eastAsia"/>
          <w:sz w:val="24"/>
        </w:rPr>
        <w:t>29</w:t>
      </w:r>
      <w:r w:rsidRPr="007B14D9">
        <w:rPr>
          <w:rFonts w:hint="eastAsia"/>
          <w:sz w:val="24"/>
        </w:rPr>
        <w:t>分（含）；</w:t>
      </w:r>
    </w:p>
    <w:p w:rsidR="00720366" w:rsidRPr="007B14D9" w:rsidRDefault="00720366" w:rsidP="00720366">
      <w:pPr>
        <w:spacing w:line="360" w:lineRule="auto"/>
        <w:ind w:firstLineChars="200" w:firstLine="480"/>
        <w:rPr>
          <w:sz w:val="24"/>
        </w:rPr>
      </w:pPr>
      <w:r w:rsidRPr="007B14D9">
        <w:rPr>
          <w:rFonts w:hint="eastAsia"/>
          <w:sz w:val="24"/>
        </w:rPr>
        <w:t>（</w:t>
      </w:r>
      <w:r w:rsidRPr="007B14D9">
        <w:rPr>
          <w:rFonts w:hint="eastAsia"/>
          <w:sz w:val="24"/>
        </w:rPr>
        <w:t>3</w:t>
      </w:r>
      <w:r w:rsidRPr="007B14D9">
        <w:rPr>
          <w:rFonts w:hint="eastAsia"/>
          <w:sz w:val="24"/>
        </w:rPr>
        <w:t>）</w:t>
      </w:r>
      <w:r w:rsidR="00956D08">
        <w:rPr>
          <w:rFonts w:hint="eastAsia"/>
          <w:sz w:val="24"/>
        </w:rPr>
        <w:t>R3</w:t>
      </w:r>
      <w:r w:rsidRPr="007B14D9">
        <w:rPr>
          <w:rFonts w:hint="eastAsia"/>
          <w:sz w:val="24"/>
        </w:rPr>
        <w:t>等级：分值为</w:t>
      </w:r>
      <w:r w:rsidRPr="007B14D9">
        <w:rPr>
          <w:rFonts w:hint="eastAsia"/>
          <w:sz w:val="24"/>
        </w:rPr>
        <w:t>30</w:t>
      </w:r>
      <w:r w:rsidRPr="007B14D9">
        <w:rPr>
          <w:rFonts w:hint="eastAsia"/>
          <w:sz w:val="24"/>
        </w:rPr>
        <w:t>～</w:t>
      </w:r>
      <w:r w:rsidRPr="007B14D9">
        <w:rPr>
          <w:rFonts w:hint="eastAsia"/>
          <w:sz w:val="24"/>
        </w:rPr>
        <w:t>44</w:t>
      </w:r>
      <w:r w:rsidRPr="007B14D9">
        <w:rPr>
          <w:rFonts w:hint="eastAsia"/>
          <w:sz w:val="24"/>
        </w:rPr>
        <w:t>（含）；</w:t>
      </w:r>
    </w:p>
    <w:p w:rsidR="00720366" w:rsidRPr="007B14D9" w:rsidRDefault="00720366" w:rsidP="00720366">
      <w:pPr>
        <w:spacing w:line="360" w:lineRule="auto"/>
        <w:ind w:firstLineChars="200" w:firstLine="480"/>
        <w:rPr>
          <w:sz w:val="24"/>
        </w:rPr>
      </w:pPr>
      <w:r w:rsidRPr="007B14D9">
        <w:rPr>
          <w:rFonts w:hint="eastAsia"/>
          <w:sz w:val="24"/>
        </w:rPr>
        <w:lastRenderedPageBreak/>
        <w:t>（</w:t>
      </w:r>
      <w:r w:rsidRPr="007B14D9">
        <w:rPr>
          <w:rFonts w:hint="eastAsia"/>
          <w:sz w:val="24"/>
        </w:rPr>
        <w:t>4</w:t>
      </w:r>
      <w:r w:rsidRPr="007B14D9">
        <w:rPr>
          <w:rFonts w:hint="eastAsia"/>
          <w:sz w:val="24"/>
        </w:rPr>
        <w:t>）</w:t>
      </w:r>
      <w:r w:rsidR="00956D08">
        <w:rPr>
          <w:rFonts w:hint="eastAsia"/>
          <w:sz w:val="24"/>
        </w:rPr>
        <w:t>R4</w:t>
      </w:r>
      <w:r w:rsidRPr="007B14D9">
        <w:rPr>
          <w:rFonts w:hint="eastAsia"/>
          <w:sz w:val="24"/>
        </w:rPr>
        <w:t>等级：分值为</w:t>
      </w:r>
      <w:r w:rsidRPr="007B14D9">
        <w:rPr>
          <w:rFonts w:hint="eastAsia"/>
          <w:sz w:val="24"/>
        </w:rPr>
        <w:t>45</w:t>
      </w:r>
      <w:r w:rsidRPr="007B14D9">
        <w:rPr>
          <w:rFonts w:hint="eastAsia"/>
          <w:sz w:val="24"/>
        </w:rPr>
        <w:t>～</w:t>
      </w:r>
      <w:r w:rsidRPr="007B14D9">
        <w:rPr>
          <w:rFonts w:hint="eastAsia"/>
          <w:sz w:val="24"/>
        </w:rPr>
        <w:t>59</w:t>
      </w:r>
      <w:r w:rsidRPr="007B14D9">
        <w:rPr>
          <w:rFonts w:hint="eastAsia"/>
          <w:sz w:val="24"/>
        </w:rPr>
        <w:t>分（含）；</w:t>
      </w:r>
    </w:p>
    <w:p w:rsidR="00720366" w:rsidRPr="007B14D9" w:rsidRDefault="00720366" w:rsidP="00720366">
      <w:pPr>
        <w:spacing w:line="360" w:lineRule="auto"/>
        <w:ind w:firstLineChars="200" w:firstLine="480"/>
        <w:rPr>
          <w:sz w:val="24"/>
        </w:rPr>
      </w:pPr>
      <w:r w:rsidRPr="007B14D9">
        <w:rPr>
          <w:rFonts w:hint="eastAsia"/>
          <w:sz w:val="24"/>
        </w:rPr>
        <w:t>（</w:t>
      </w:r>
      <w:r w:rsidRPr="007B14D9">
        <w:rPr>
          <w:rFonts w:hint="eastAsia"/>
          <w:sz w:val="24"/>
        </w:rPr>
        <w:t>3</w:t>
      </w:r>
      <w:r w:rsidRPr="007B14D9">
        <w:rPr>
          <w:rFonts w:hint="eastAsia"/>
          <w:sz w:val="24"/>
        </w:rPr>
        <w:t>）</w:t>
      </w:r>
      <w:r w:rsidR="00956D08">
        <w:rPr>
          <w:rFonts w:hint="eastAsia"/>
          <w:sz w:val="24"/>
        </w:rPr>
        <w:t>R5</w:t>
      </w:r>
      <w:r w:rsidRPr="007B14D9">
        <w:rPr>
          <w:rFonts w:hint="eastAsia"/>
          <w:sz w:val="24"/>
        </w:rPr>
        <w:t>等级：分值为</w:t>
      </w:r>
      <w:r w:rsidRPr="007B14D9">
        <w:rPr>
          <w:rFonts w:hint="eastAsia"/>
          <w:sz w:val="24"/>
        </w:rPr>
        <w:t>60</w:t>
      </w:r>
      <w:r w:rsidRPr="007B14D9">
        <w:rPr>
          <w:rFonts w:hint="eastAsia"/>
          <w:sz w:val="24"/>
        </w:rPr>
        <w:t>分及以上。</w:t>
      </w:r>
    </w:p>
    <w:p w:rsidR="007F62CA" w:rsidRPr="008E7EDF" w:rsidRDefault="007F62CA" w:rsidP="008E7EDF">
      <w:pPr>
        <w:spacing w:line="360" w:lineRule="auto"/>
        <w:ind w:firstLineChars="200" w:firstLine="480"/>
        <w:rPr>
          <w:sz w:val="24"/>
        </w:rPr>
      </w:pPr>
      <w:r w:rsidRPr="008E7EDF">
        <w:rPr>
          <w:rFonts w:hint="eastAsia"/>
          <w:sz w:val="24"/>
        </w:rPr>
        <w:t xml:space="preserve">5. </w:t>
      </w:r>
      <w:r w:rsidRPr="008E7EDF">
        <w:rPr>
          <w:rFonts w:hint="eastAsia"/>
          <w:sz w:val="24"/>
        </w:rPr>
        <w:t>每个专户</w:t>
      </w:r>
      <w:r w:rsidR="008D48E6" w:rsidRPr="008E7EDF">
        <w:rPr>
          <w:rFonts w:hint="eastAsia"/>
          <w:sz w:val="24"/>
        </w:rPr>
        <w:t>产品</w:t>
      </w:r>
      <w:r w:rsidRPr="008E7EDF">
        <w:rPr>
          <w:rFonts w:hint="eastAsia"/>
          <w:sz w:val="24"/>
        </w:rPr>
        <w:t>在上架前，均需用《财通基金专户产品风险评价表》（附件二）对产品进行风险评价，并定期对风险评价结果予以更新。</w:t>
      </w:r>
    </w:p>
    <w:p w:rsidR="00720366" w:rsidRPr="007B14D9" w:rsidRDefault="00720366" w:rsidP="002454D1">
      <w:pPr>
        <w:keepNext/>
        <w:keepLines/>
        <w:spacing w:beforeLines="100" w:before="312" w:afterLines="100" w:after="312" w:line="360" w:lineRule="auto"/>
        <w:jc w:val="center"/>
        <w:outlineLvl w:val="1"/>
        <w:rPr>
          <w:rFonts w:ascii="黑体" w:eastAsia="黑体" w:hAnsi="宋体"/>
          <w:bCs/>
          <w:kern w:val="0"/>
          <w:sz w:val="30"/>
          <w:szCs w:val="28"/>
        </w:rPr>
      </w:pPr>
      <w:bookmarkStart w:id="20" w:name="_Toc484028140"/>
      <w:r w:rsidRPr="007B14D9">
        <w:rPr>
          <w:rFonts w:ascii="黑体" w:eastAsia="黑体" w:hAnsi="宋体" w:hint="eastAsia"/>
          <w:bCs/>
          <w:kern w:val="0"/>
          <w:sz w:val="30"/>
          <w:szCs w:val="28"/>
        </w:rPr>
        <w:t xml:space="preserve">第六章  </w:t>
      </w:r>
      <w:bookmarkEnd w:id="17"/>
      <w:bookmarkEnd w:id="18"/>
      <w:r w:rsidRPr="007B14D9">
        <w:rPr>
          <w:rFonts w:ascii="黑体" w:eastAsia="黑体" w:hAnsi="宋体" w:hint="eastAsia"/>
          <w:bCs/>
          <w:kern w:val="0"/>
          <w:sz w:val="30"/>
          <w:szCs w:val="28"/>
        </w:rPr>
        <w:t>产品风险评价的责任人和应用</w:t>
      </w:r>
      <w:bookmarkEnd w:id="20"/>
    </w:p>
    <w:p w:rsidR="00720366" w:rsidRPr="007B14D9" w:rsidRDefault="00720366" w:rsidP="00720366">
      <w:pPr>
        <w:spacing w:before="100" w:beforeAutospacing="1" w:line="360" w:lineRule="auto"/>
        <w:ind w:firstLineChars="196" w:firstLine="472"/>
        <w:rPr>
          <w:sz w:val="24"/>
        </w:rPr>
      </w:pPr>
      <w:bookmarkStart w:id="21" w:name="_Toc144263974"/>
      <w:bookmarkStart w:id="22" w:name="_Toc300838726"/>
      <w:r w:rsidRPr="007B14D9">
        <w:rPr>
          <w:rFonts w:hint="eastAsia"/>
          <w:b/>
          <w:sz w:val="24"/>
        </w:rPr>
        <w:t>第十条</w:t>
      </w:r>
      <w:r w:rsidRPr="007B14D9">
        <w:rPr>
          <w:rFonts w:hint="eastAsia"/>
          <w:sz w:val="24"/>
        </w:rPr>
        <w:t xml:space="preserve"> </w:t>
      </w:r>
      <w:r w:rsidR="00AD485E">
        <w:rPr>
          <w:rFonts w:hint="eastAsia"/>
          <w:sz w:val="24"/>
        </w:rPr>
        <w:t>公募基金</w:t>
      </w:r>
      <w:r w:rsidRPr="007B14D9">
        <w:rPr>
          <w:rFonts w:hint="eastAsia"/>
          <w:sz w:val="24"/>
        </w:rPr>
        <w:t>或专户产品上线前由产品战略部负责在招募说明书、投资说明书或合同中对产品进行初始风险评价；此后由产品战略部根据产品风险评价表</w:t>
      </w:r>
      <w:r w:rsidR="004A4A8A" w:rsidRPr="004A4A8A">
        <w:rPr>
          <w:rFonts w:hint="eastAsia"/>
          <w:sz w:val="24"/>
        </w:rPr>
        <w:t>每年</w:t>
      </w:r>
      <w:r w:rsidRPr="007B14D9">
        <w:rPr>
          <w:rFonts w:hint="eastAsia"/>
          <w:sz w:val="24"/>
        </w:rPr>
        <w:t>更新对产品的风险评价，过往的评价结果应当作为历史记录保存。</w:t>
      </w:r>
    </w:p>
    <w:p w:rsidR="00720366" w:rsidRPr="007B14D9" w:rsidRDefault="00720366" w:rsidP="00720366">
      <w:pPr>
        <w:spacing w:before="100" w:beforeAutospacing="1" w:line="360" w:lineRule="auto"/>
        <w:ind w:firstLineChars="196" w:firstLine="472"/>
        <w:rPr>
          <w:sz w:val="24"/>
        </w:rPr>
      </w:pPr>
      <w:r w:rsidRPr="007B14D9">
        <w:rPr>
          <w:rFonts w:hint="eastAsia"/>
          <w:b/>
          <w:sz w:val="24"/>
        </w:rPr>
        <w:t>第十</w:t>
      </w:r>
      <w:r w:rsidR="00472469">
        <w:rPr>
          <w:rFonts w:hint="eastAsia"/>
          <w:b/>
          <w:sz w:val="24"/>
        </w:rPr>
        <w:t>一</w:t>
      </w:r>
      <w:r w:rsidRPr="007B14D9">
        <w:rPr>
          <w:rFonts w:hint="eastAsia"/>
          <w:b/>
          <w:sz w:val="24"/>
        </w:rPr>
        <w:t>条</w:t>
      </w:r>
      <w:r w:rsidRPr="007B14D9">
        <w:rPr>
          <w:rFonts w:hint="eastAsia"/>
          <w:sz w:val="24"/>
        </w:rPr>
        <w:t xml:space="preserve"> </w:t>
      </w:r>
      <w:r w:rsidRPr="007B14D9">
        <w:rPr>
          <w:rFonts w:hint="eastAsia"/>
          <w:sz w:val="24"/>
        </w:rPr>
        <w:t>如发生投资范围、投资策略等重大变化可能导致风险评级发生变化的，产品战略部应当</w:t>
      </w:r>
      <w:r w:rsidR="007F62CA" w:rsidRPr="008E7EDF">
        <w:rPr>
          <w:rFonts w:hint="eastAsia"/>
          <w:sz w:val="24"/>
        </w:rPr>
        <w:t>及时</w:t>
      </w:r>
      <w:r w:rsidRPr="007B14D9">
        <w:rPr>
          <w:rFonts w:hint="eastAsia"/>
          <w:sz w:val="24"/>
        </w:rPr>
        <w:t>对产品重新进行风险评级。</w:t>
      </w:r>
    </w:p>
    <w:p w:rsidR="00720366" w:rsidRPr="007B14D9" w:rsidRDefault="00720366" w:rsidP="00720366">
      <w:pPr>
        <w:spacing w:before="100" w:beforeAutospacing="1" w:line="360" w:lineRule="auto"/>
        <w:ind w:firstLineChars="196" w:firstLine="472"/>
        <w:rPr>
          <w:sz w:val="24"/>
        </w:rPr>
      </w:pPr>
      <w:r w:rsidRPr="007B14D9">
        <w:rPr>
          <w:rFonts w:hint="eastAsia"/>
          <w:b/>
          <w:sz w:val="24"/>
        </w:rPr>
        <w:t>第十</w:t>
      </w:r>
      <w:r w:rsidR="00472469">
        <w:rPr>
          <w:rFonts w:hint="eastAsia"/>
          <w:b/>
          <w:sz w:val="24"/>
        </w:rPr>
        <w:t>二</w:t>
      </w:r>
      <w:r w:rsidRPr="007B14D9">
        <w:rPr>
          <w:rFonts w:hint="eastAsia"/>
          <w:b/>
          <w:sz w:val="24"/>
        </w:rPr>
        <w:t>条</w:t>
      </w:r>
      <w:r w:rsidRPr="007B14D9">
        <w:rPr>
          <w:rFonts w:hint="eastAsia"/>
          <w:b/>
          <w:sz w:val="24"/>
        </w:rPr>
        <w:t xml:space="preserve"> </w:t>
      </w:r>
      <w:r w:rsidRPr="007B14D9">
        <w:rPr>
          <w:rFonts w:hint="eastAsia"/>
          <w:sz w:val="24"/>
        </w:rPr>
        <w:t>产品风险评价完成后，销售人员应根据产品的风险程度和客户的风险承受能力进行适应性营销。</w:t>
      </w:r>
    </w:p>
    <w:p w:rsidR="00F26E2E" w:rsidRPr="007B14D9" w:rsidRDefault="00F26E2E" w:rsidP="00F26E2E">
      <w:pPr>
        <w:spacing w:before="100" w:beforeAutospacing="1" w:line="360" w:lineRule="auto"/>
        <w:ind w:firstLineChars="196" w:firstLine="472"/>
        <w:rPr>
          <w:b/>
          <w:sz w:val="24"/>
        </w:rPr>
      </w:pPr>
      <w:r w:rsidRPr="007B14D9">
        <w:rPr>
          <w:rFonts w:hint="eastAsia"/>
          <w:b/>
          <w:sz w:val="24"/>
        </w:rPr>
        <w:t>第十</w:t>
      </w:r>
      <w:r w:rsidR="00472469">
        <w:rPr>
          <w:rFonts w:hint="eastAsia"/>
          <w:b/>
          <w:sz w:val="24"/>
        </w:rPr>
        <w:t>三</w:t>
      </w:r>
      <w:r w:rsidRPr="007B14D9">
        <w:rPr>
          <w:rFonts w:hint="eastAsia"/>
          <w:b/>
          <w:sz w:val="24"/>
        </w:rPr>
        <w:t>条</w:t>
      </w:r>
      <w:r w:rsidRPr="007B14D9">
        <w:rPr>
          <w:rFonts w:hint="eastAsia"/>
          <w:b/>
          <w:sz w:val="24"/>
        </w:rPr>
        <w:t xml:space="preserve">  </w:t>
      </w:r>
      <w:r w:rsidR="00A84A74" w:rsidRPr="00956D08">
        <w:rPr>
          <w:rFonts w:hint="eastAsia"/>
          <w:sz w:val="24"/>
        </w:rPr>
        <w:t>本指引</w:t>
      </w:r>
      <w:r w:rsidRPr="00956D08">
        <w:rPr>
          <w:rFonts w:hint="eastAsia"/>
          <w:sz w:val="24"/>
        </w:rPr>
        <w:t>经公司总经理办公会审议通过，并自发布之日起实行。</w:t>
      </w:r>
    </w:p>
    <w:p w:rsidR="00F26E2E" w:rsidRPr="007B14D9" w:rsidRDefault="00F26E2E" w:rsidP="00F26E2E">
      <w:pPr>
        <w:spacing w:before="100" w:beforeAutospacing="1" w:line="360" w:lineRule="auto"/>
        <w:ind w:firstLineChars="196" w:firstLine="472"/>
        <w:rPr>
          <w:b/>
          <w:sz w:val="24"/>
        </w:rPr>
      </w:pPr>
      <w:r w:rsidRPr="007B14D9">
        <w:rPr>
          <w:rFonts w:hint="eastAsia"/>
          <w:b/>
          <w:sz w:val="24"/>
        </w:rPr>
        <w:t>第十</w:t>
      </w:r>
      <w:r w:rsidR="00472469">
        <w:rPr>
          <w:rFonts w:hint="eastAsia"/>
          <w:b/>
          <w:sz w:val="24"/>
        </w:rPr>
        <w:t>四</w:t>
      </w:r>
      <w:r w:rsidRPr="007B14D9">
        <w:rPr>
          <w:rFonts w:hint="eastAsia"/>
          <w:b/>
          <w:sz w:val="24"/>
        </w:rPr>
        <w:t>条</w:t>
      </w:r>
      <w:r w:rsidRPr="007B14D9">
        <w:rPr>
          <w:rFonts w:hint="eastAsia"/>
          <w:b/>
          <w:sz w:val="24"/>
        </w:rPr>
        <w:t xml:space="preserve">  </w:t>
      </w:r>
      <w:r w:rsidR="00A84A74" w:rsidRPr="00956D08">
        <w:rPr>
          <w:rFonts w:hint="eastAsia"/>
          <w:sz w:val="24"/>
        </w:rPr>
        <w:t>本指引</w:t>
      </w:r>
      <w:r w:rsidRPr="00956D08">
        <w:rPr>
          <w:rFonts w:hint="eastAsia"/>
          <w:sz w:val="24"/>
        </w:rPr>
        <w:t>由公司总经理办公会负责解释和修订。</w:t>
      </w:r>
    </w:p>
    <w:bookmarkEnd w:id="21"/>
    <w:bookmarkEnd w:id="22"/>
    <w:p w:rsidR="00720366" w:rsidRPr="007B14D9" w:rsidRDefault="00720366" w:rsidP="00720366">
      <w:pPr>
        <w:spacing w:before="100" w:beforeAutospacing="1"/>
        <w:ind w:firstLineChars="196" w:firstLine="470"/>
        <w:rPr>
          <w:sz w:val="24"/>
        </w:rPr>
      </w:pPr>
      <w:r w:rsidRPr="007B14D9">
        <w:rPr>
          <w:rFonts w:hint="eastAsia"/>
          <w:sz w:val="24"/>
        </w:rPr>
        <w:t>附件一：《财通基金公募基金产品风险评价表》</w:t>
      </w:r>
    </w:p>
    <w:p w:rsidR="00720366" w:rsidRPr="007B14D9" w:rsidRDefault="00720366" w:rsidP="00720366">
      <w:pPr>
        <w:spacing w:before="100" w:beforeAutospacing="1"/>
        <w:ind w:firstLineChars="196" w:firstLine="470"/>
        <w:rPr>
          <w:sz w:val="24"/>
        </w:rPr>
      </w:pPr>
      <w:r w:rsidRPr="007B14D9">
        <w:rPr>
          <w:rFonts w:hint="eastAsia"/>
          <w:sz w:val="24"/>
        </w:rPr>
        <w:t>附件二：《财通基金专户产品风险评价表》</w:t>
      </w:r>
    </w:p>
    <w:p w:rsidR="004A4A8A" w:rsidRDefault="00720366" w:rsidP="004A4A8A">
      <w:pPr>
        <w:widowControl/>
        <w:jc w:val="center"/>
        <w:rPr>
          <w:b/>
          <w:sz w:val="32"/>
          <w:szCs w:val="32"/>
        </w:rPr>
      </w:pPr>
      <w:r w:rsidRPr="007B14D9">
        <w:rPr>
          <w:b/>
          <w:sz w:val="32"/>
          <w:szCs w:val="32"/>
        </w:rPr>
        <w:br w:type="page"/>
      </w:r>
      <w:r w:rsidRPr="007B14D9">
        <w:rPr>
          <w:rFonts w:hint="eastAsia"/>
          <w:b/>
          <w:sz w:val="32"/>
          <w:szCs w:val="32"/>
        </w:rPr>
        <w:lastRenderedPageBreak/>
        <w:t>财通基金公募基金产品风险评价表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173"/>
        <w:gridCol w:w="2947"/>
        <w:gridCol w:w="1080"/>
      </w:tblGrid>
      <w:tr w:rsidR="00720366" w:rsidRPr="007B14D9" w:rsidTr="006F329C">
        <w:trPr>
          <w:trHeight w:val="465"/>
        </w:trPr>
        <w:tc>
          <w:tcPr>
            <w:tcW w:w="1080" w:type="dxa"/>
            <w:vAlign w:val="center"/>
          </w:tcPr>
          <w:p w:rsidR="00720366" w:rsidRPr="007B14D9" w:rsidRDefault="00720366" w:rsidP="006F329C">
            <w:pPr>
              <w:jc w:val="center"/>
            </w:pPr>
            <w:r w:rsidRPr="007B14D9">
              <w:rPr>
                <w:rFonts w:hint="eastAsia"/>
              </w:rPr>
              <w:t>基金名称</w:t>
            </w:r>
          </w:p>
        </w:tc>
        <w:tc>
          <w:tcPr>
            <w:tcW w:w="7200" w:type="dxa"/>
            <w:gridSpan w:val="3"/>
            <w:vAlign w:val="center"/>
          </w:tcPr>
          <w:p w:rsidR="00720366" w:rsidRPr="007B14D9" w:rsidRDefault="00720366" w:rsidP="006F329C">
            <w:pPr>
              <w:jc w:val="center"/>
            </w:pPr>
          </w:p>
        </w:tc>
      </w:tr>
      <w:tr w:rsidR="00720366" w:rsidRPr="007B14D9" w:rsidTr="006F329C">
        <w:trPr>
          <w:trHeight w:val="465"/>
        </w:trPr>
        <w:tc>
          <w:tcPr>
            <w:tcW w:w="1080" w:type="dxa"/>
            <w:vAlign w:val="center"/>
          </w:tcPr>
          <w:p w:rsidR="00720366" w:rsidRPr="007B14D9" w:rsidRDefault="00720366" w:rsidP="006F329C">
            <w:pPr>
              <w:jc w:val="center"/>
            </w:pPr>
            <w:r w:rsidRPr="007B14D9">
              <w:rPr>
                <w:rFonts w:hint="eastAsia"/>
              </w:rPr>
              <w:t>评价指标</w:t>
            </w:r>
          </w:p>
        </w:tc>
        <w:tc>
          <w:tcPr>
            <w:tcW w:w="6120" w:type="dxa"/>
            <w:gridSpan w:val="2"/>
            <w:vAlign w:val="center"/>
          </w:tcPr>
          <w:p w:rsidR="00720366" w:rsidRPr="007B14D9" w:rsidRDefault="00720366" w:rsidP="006F329C">
            <w:pPr>
              <w:jc w:val="center"/>
            </w:pPr>
            <w:r w:rsidRPr="007B14D9">
              <w:rPr>
                <w:rFonts w:hint="eastAsia"/>
              </w:rPr>
              <w:t>基金产品风险评价内容</w:t>
            </w:r>
          </w:p>
        </w:tc>
        <w:tc>
          <w:tcPr>
            <w:tcW w:w="1080" w:type="dxa"/>
            <w:vAlign w:val="center"/>
          </w:tcPr>
          <w:p w:rsidR="00720366" w:rsidRPr="007B14D9" w:rsidRDefault="00720366" w:rsidP="006F329C">
            <w:pPr>
              <w:jc w:val="center"/>
            </w:pPr>
            <w:r w:rsidRPr="007B14D9">
              <w:rPr>
                <w:rFonts w:hint="eastAsia"/>
              </w:rPr>
              <w:t>评价得分</w:t>
            </w:r>
          </w:p>
        </w:tc>
      </w:tr>
      <w:tr w:rsidR="00720366" w:rsidRPr="007B14D9" w:rsidTr="006F329C">
        <w:trPr>
          <w:trHeight w:val="1685"/>
        </w:trPr>
        <w:tc>
          <w:tcPr>
            <w:tcW w:w="1080" w:type="dxa"/>
            <w:vAlign w:val="center"/>
          </w:tcPr>
          <w:p w:rsidR="00720366" w:rsidRPr="007B14D9" w:rsidRDefault="00720366" w:rsidP="006F329C">
            <w:pPr>
              <w:jc w:val="center"/>
            </w:pPr>
            <w:r w:rsidRPr="007B14D9">
              <w:rPr>
                <w:rFonts w:hint="eastAsia"/>
              </w:rPr>
              <w:t>基金类别</w:t>
            </w:r>
          </w:p>
        </w:tc>
        <w:tc>
          <w:tcPr>
            <w:tcW w:w="6120" w:type="dxa"/>
            <w:gridSpan w:val="2"/>
            <w:vAlign w:val="center"/>
          </w:tcPr>
          <w:p w:rsidR="00253283" w:rsidRPr="00253283" w:rsidRDefault="00C433C2" w:rsidP="00253283">
            <w:pPr>
              <w:rPr>
                <w:szCs w:val="21"/>
              </w:rPr>
            </w:pPr>
            <w:r>
              <w:rPr>
                <w:rFonts w:hint="eastAsia"/>
                <w:szCs w:val="21"/>
              </w:rPr>
              <w:t>（</w:t>
            </w:r>
            <w:r>
              <w:rPr>
                <w:rFonts w:hint="eastAsia"/>
                <w:szCs w:val="21"/>
              </w:rPr>
              <w:t>1</w:t>
            </w:r>
            <w:r>
              <w:rPr>
                <w:rFonts w:hint="eastAsia"/>
                <w:szCs w:val="21"/>
              </w:rPr>
              <w:t>）</w:t>
            </w:r>
            <w:r w:rsidR="00253283" w:rsidRPr="00253283">
              <w:rPr>
                <w:rFonts w:hint="eastAsia"/>
                <w:szCs w:val="21"/>
              </w:rPr>
              <w:t>商品型基金、股票型基金、混合型基金、股票型</w:t>
            </w:r>
            <w:r w:rsidR="00253283" w:rsidRPr="00253283">
              <w:rPr>
                <w:rFonts w:hint="eastAsia"/>
                <w:szCs w:val="21"/>
              </w:rPr>
              <w:t>FOF</w:t>
            </w:r>
            <w:r w:rsidR="00253283" w:rsidRPr="00253283">
              <w:rPr>
                <w:rFonts w:hint="eastAsia"/>
                <w:szCs w:val="21"/>
              </w:rPr>
              <w:t>、混合型</w:t>
            </w:r>
            <w:r w:rsidR="00253283" w:rsidRPr="00253283">
              <w:rPr>
                <w:rFonts w:hint="eastAsia"/>
                <w:szCs w:val="21"/>
              </w:rPr>
              <w:t>FOF</w:t>
            </w:r>
            <w:r w:rsidR="00253283">
              <w:rPr>
                <w:rFonts w:hint="eastAsia"/>
                <w:szCs w:val="21"/>
              </w:rPr>
              <w:t>：</w:t>
            </w:r>
            <w:r w:rsidR="00253283" w:rsidRPr="00253283">
              <w:rPr>
                <w:rFonts w:hint="eastAsia"/>
                <w:szCs w:val="21"/>
              </w:rPr>
              <w:t>得分为</w:t>
            </w:r>
            <w:r w:rsidR="00253283" w:rsidRPr="00253283">
              <w:rPr>
                <w:rFonts w:hint="eastAsia"/>
                <w:szCs w:val="21"/>
              </w:rPr>
              <w:t>30</w:t>
            </w:r>
            <w:r w:rsidR="00253283" w:rsidRPr="00253283">
              <w:rPr>
                <w:rFonts w:hint="eastAsia"/>
                <w:szCs w:val="21"/>
              </w:rPr>
              <w:t>分；</w:t>
            </w:r>
          </w:p>
          <w:p w:rsidR="00253283" w:rsidRPr="00253283" w:rsidRDefault="00C433C2" w:rsidP="00253283">
            <w:pPr>
              <w:rPr>
                <w:szCs w:val="21"/>
              </w:rPr>
            </w:pPr>
            <w:r>
              <w:rPr>
                <w:rFonts w:hint="eastAsia"/>
                <w:szCs w:val="21"/>
              </w:rPr>
              <w:t>（</w:t>
            </w:r>
            <w:r>
              <w:rPr>
                <w:rFonts w:hint="eastAsia"/>
                <w:szCs w:val="21"/>
              </w:rPr>
              <w:t>2</w:t>
            </w:r>
            <w:r>
              <w:rPr>
                <w:rFonts w:hint="eastAsia"/>
                <w:szCs w:val="21"/>
              </w:rPr>
              <w:t>）</w:t>
            </w:r>
            <w:r w:rsidR="00253283" w:rsidRPr="00253283">
              <w:rPr>
                <w:rFonts w:hint="eastAsia"/>
                <w:szCs w:val="21"/>
              </w:rPr>
              <w:t>债券型基金、债券型</w:t>
            </w:r>
            <w:r w:rsidR="00253283" w:rsidRPr="00253283">
              <w:rPr>
                <w:rFonts w:hint="eastAsia"/>
                <w:szCs w:val="21"/>
              </w:rPr>
              <w:t>FOF</w:t>
            </w:r>
            <w:r w:rsidR="00253283">
              <w:rPr>
                <w:rFonts w:hint="eastAsia"/>
                <w:szCs w:val="21"/>
              </w:rPr>
              <w:t>、避险策略基金：</w:t>
            </w:r>
            <w:r w:rsidR="00253283" w:rsidRPr="00253283">
              <w:rPr>
                <w:rFonts w:hint="eastAsia"/>
                <w:szCs w:val="21"/>
              </w:rPr>
              <w:t>得分为</w:t>
            </w:r>
            <w:r w:rsidR="00253283" w:rsidRPr="00253283">
              <w:rPr>
                <w:rFonts w:hint="eastAsia"/>
                <w:szCs w:val="21"/>
              </w:rPr>
              <w:t>15</w:t>
            </w:r>
            <w:r w:rsidR="00253283" w:rsidRPr="00253283">
              <w:rPr>
                <w:rFonts w:hint="eastAsia"/>
                <w:szCs w:val="21"/>
              </w:rPr>
              <w:t>分；</w:t>
            </w:r>
          </w:p>
          <w:p w:rsidR="00253283" w:rsidRPr="00253283" w:rsidRDefault="00C433C2" w:rsidP="00253283">
            <w:pPr>
              <w:rPr>
                <w:szCs w:val="21"/>
              </w:rPr>
            </w:pPr>
            <w:r>
              <w:rPr>
                <w:rFonts w:hint="eastAsia"/>
                <w:szCs w:val="21"/>
              </w:rPr>
              <w:t>（</w:t>
            </w:r>
            <w:r>
              <w:rPr>
                <w:rFonts w:hint="eastAsia"/>
                <w:szCs w:val="21"/>
              </w:rPr>
              <w:t>3</w:t>
            </w:r>
            <w:r>
              <w:rPr>
                <w:rFonts w:hint="eastAsia"/>
                <w:szCs w:val="21"/>
              </w:rPr>
              <w:t>）</w:t>
            </w:r>
            <w:r w:rsidR="00253283">
              <w:rPr>
                <w:rFonts w:hint="eastAsia"/>
                <w:szCs w:val="21"/>
              </w:rPr>
              <w:t>货币型基金</w:t>
            </w:r>
            <w:r w:rsidR="00E005BC">
              <w:rPr>
                <w:rFonts w:hint="eastAsia"/>
                <w:szCs w:val="21"/>
              </w:rPr>
              <w:t>、</w:t>
            </w:r>
            <w:r w:rsidR="00E005BC" w:rsidRPr="00253283">
              <w:rPr>
                <w:rFonts w:hint="eastAsia"/>
                <w:szCs w:val="21"/>
              </w:rPr>
              <w:t>货币型</w:t>
            </w:r>
            <w:r w:rsidR="00E005BC" w:rsidRPr="00253283">
              <w:rPr>
                <w:rFonts w:hint="eastAsia"/>
                <w:szCs w:val="21"/>
              </w:rPr>
              <w:t>FOF</w:t>
            </w:r>
            <w:r w:rsidR="00253283">
              <w:rPr>
                <w:rFonts w:hint="eastAsia"/>
                <w:szCs w:val="21"/>
              </w:rPr>
              <w:t>：</w:t>
            </w:r>
            <w:r w:rsidR="00253283" w:rsidRPr="00253283">
              <w:rPr>
                <w:rFonts w:hint="eastAsia"/>
                <w:szCs w:val="21"/>
              </w:rPr>
              <w:t>得分为</w:t>
            </w:r>
            <w:r w:rsidR="00253283" w:rsidRPr="00253283">
              <w:rPr>
                <w:rFonts w:hint="eastAsia"/>
                <w:szCs w:val="21"/>
              </w:rPr>
              <w:t>1</w:t>
            </w:r>
            <w:r w:rsidR="00253283" w:rsidRPr="00253283">
              <w:rPr>
                <w:rFonts w:hint="eastAsia"/>
                <w:szCs w:val="21"/>
              </w:rPr>
              <w:t>分。</w:t>
            </w:r>
          </w:p>
          <w:p w:rsidR="00720366" w:rsidRPr="007B14D9" w:rsidRDefault="00253283" w:rsidP="006F329C">
            <w:pPr>
              <w:rPr>
                <w:szCs w:val="21"/>
              </w:rPr>
            </w:pPr>
            <w:r w:rsidRPr="00253283">
              <w:rPr>
                <w:rFonts w:hint="eastAsia"/>
                <w:szCs w:val="21"/>
              </w:rPr>
              <w:t>其他类型</w:t>
            </w:r>
            <w:r w:rsidRPr="00253283">
              <w:rPr>
                <w:rFonts w:hint="eastAsia"/>
                <w:szCs w:val="21"/>
              </w:rPr>
              <w:t>FOF</w:t>
            </w:r>
            <w:r w:rsidRPr="00253283">
              <w:rPr>
                <w:rFonts w:hint="eastAsia"/>
                <w:szCs w:val="21"/>
              </w:rPr>
              <w:t>、</w:t>
            </w:r>
            <w:r w:rsidRPr="00253283">
              <w:rPr>
                <w:rFonts w:hint="eastAsia"/>
                <w:szCs w:val="21"/>
              </w:rPr>
              <w:t>QDII</w:t>
            </w:r>
            <w:r w:rsidRPr="00253283">
              <w:rPr>
                <w:rFonts w:hint="eastAsia"/>
                <w:szCs w:val="21"/>
              </w:rPr>
              <w:t>产品及新型公募产品，参照以上</w:t>
            </w:r>
            <w:r>
              <w:rPr>
                <w:rFonts w:hint="eastAsia"/>
                <w:szCs w:val="21"/>
              </w:rPr>
              <w:t>类别</w:t>
            </w:r>
            <w:r w:rsidRPr="00253283">
              <w:rPr>
                <w:rFonts w:hint="eastAsia"/>
                <w:szCs w:val="21"/>
              </w:rPr>
              <w:t>打分。</w:t>
            </w:r>
          </w:p>
        </w:tc>
        <w:tc>
          <w:tcPr>
            <w:tcW w:w="1080" w:type="dxa"/>
            <w:vAlign w:val="center"/>
          </w:tcPr>
          <w:p w:rsidR="00720366" w:rsidRPr="007B14D9" w:rsidRDefault="00720366" w:rsidP="006F329C">
            <w:pPr>
              <w:jc w:val="center"/>
            </w:pPr>
          </w:p>
        </w:tc>
      </w:tr>
      <w:tr w:rsidR="00720366" w:rsidRPr="007B14D9" w:rsidTr="006F329C">
        <w:trPr>
          <w:trHeight w:val="1561"/>
        </w:trPr>
        <w:tc>
          <w:tcPr>
            <w:tcW w:w="1080" w:type="dxa"/>
            <w:vAlign w:val="center"/>
          </w:tcPr>
          <w:p w:rsidR="00720366" w:rsidRPr="007B14D9" w:rsidRDefault="00E45477" w:rsidP="00E45477">
            <w:pPr>
              <w:jc w:val="center"/>
            </w:pPr>
            <w:r w:rsidRPr="007B14D9">
              <w:rPr>
                <w:rFonts w:hint="eastAsia"/>
              </w:rPr>
              <w:t>流动性与到</w:t>
            </w:r>
            <w:r w:rsidR="00720366" w:rsidRPr="007B14D9">
              <w:rPr>
                <w:rFonts w:hint="eastAsia"/>
              </w:rPr>
              <w:t>期期限</w:t>
            </w:r>
          </w:p>
        </w:tc>
        <w:tc>
          <w:tcPr>
            <w:tcW w:w="6120" w:type="dxa"/>
            <w:gridSpan w:val="2"/>
            <w:vAlign w:val="center"/>
          </w:tcPr>
          <w:p w:rsidR="00720366" w:rsidRPr="007B14D9" w:rsidRDefault="00720366" w:rsidP="006F329C">
            <w:pPr>
              <w:rPr>
                <w:szCs w:val="21"/>
              </w:rPr>
            </w:pPr>
            <w:r w:rsidRPr="007B14D9">
              <w:rPr>
                <w:rFonts w:hint="eastAsia"/>
                <w:szCs w:val="21"/>
              </w:rPr>
              <w:t>（</w:t>
            </w:r>
            <w:r w:rsidRPr="007B14D9">
              <w:rPr>
                <w:rFonts w:hint="eastAsia"/>
                <w:szCs w:val="21"/>
              </w:rPr>
              <w:t>1</w:t>
            </w:r>
            <w:r w:rsidRPr="007B14D9">
              <w:rPr>
                <w:rFonts w:hint="eastAsia"/>
                <w:szCs w:val="21"/>
              </w:rPr>
              <w:t>）封闭期在</w:t>
            </w:r>
            <w:r w:rsidRPr="007B14D9">
              <w:rPr>
                <w:rFonts w:hint="eastAsia"/>
                <w:szCs w:val="21"/>
              </w:rPr>
              <w:t>1</w:t>
            </w:r>
            <w:r w:rsidRPr="007B14D9">
              <w:rPr>
                <w:rFonts w:hint="eastAsia"/>
                <w:szCs w:val="21"/>
              </w:rPr>
              <w:t>年以上（含</w:t>
            </w:r>
            <w:r w:rsidRPr="007B14D9">
              <w:rPr>
                <w:rFonts w:hint="eastAsia"/>
                <w:szCs w:val="21"/>
              </w:rPr>
              <w:t>1</w:t>
            </w:r>
            <w:r w:rsidRPr="007B14D9">
              <w:rPr>
                <w:rFonts w:hint="eastAsia"/>
                <w:szCs w:val="21"/>
              </w:rPr>
              <w:t>年），同时在封闭期不能流通转让的，得分为</w:t>
            </w:r>
            <w:r w:rsidRPr="007B14D9">
              <w:rPr>
                <w:rFonts w:hint="eastAsia"/>
                <w:szCs w:val="21"/>
              </w:rPr>
              <w:t>3</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rFonts w:hint="eastAsia"/>
                <w:szCs w:val="21"/>
              </w:rPr>
              <w:t>2</w:t>
            </w:r>
            <w:r w:rsidRPr="007B14D9">
              <w:rPr>
                <w:rFonts w:hint="eastAsia"/>
                <w:szCs w:val="21"/>
              </w:rPr>
              <w:t>）封闭期在</w:t>
            </w:r>
            <w:r w:rsidRPr="007B14D9">
              <w:rPr>
                <w:rFonts w:hint="eastAsia"/>
                <w:szCs w:val="21"/>
              </w:rPr>
              <w:t>1</w:t>
            </w:r>
            <w:r w:rsidRPr="007B14D9">
              <w:rPr>
                <w:rFonts w:hint="eastAsia"/>
                <w:szCs w:val="21"/>
              </w:rPr>
              <w:t>年以上（含</w:t>
            </w:r>
            <w:r w:rsidRPr="007B14D9">
              <w:rPr>
                <w:rFonts w:hint="eastAsia"/>
                <w:szCs w:val="21"/>
              </w:rPr>
              <w:t>1</w:t>
            </w:r>
            <w:r w:rsidRPr="007B14D9">
              <w:rPr>
                <w:rFonts w:hint="eastAsia"/>
                <w:szCs w:val="21"/>
              </w:rPr>
              <w:t>年），同时在封闭期能够流通转让的，得分为</w:t>
            </w:r>
            <w:r w:rsidRPr="007B14D9">
              <w:rPr>
                <w:rFonts w:hint="eastAsia"/>
                <w:szCs w:val="21"/>
              </w:rPr>
              <w:t>2</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rFonts w:hint="eastAsia"/>
                <w:szCs w:val="21"/>
              </w:rPr>
              <w:t>3</w:t>
            </w:r>
            <w:r w:rsidRPr="007B14D9">
              <w:rPr>
                <w:rFonts w:hint="eastAsia"/>
                <w:szCs w:val="21"/>
              </w:rPr>
              <w:t>）封闭期在</w:t>
            </w:r>
            <w:r w:rsidRPr="007B14D9">
              <w:rPr>
                <w:rFonts w:hint="eastAsia"/>
                <w:szCs w:val="21"/>
              </w:rPr>
              <w:t>1</w:t>
            </w:r>
            <w:r w:rsidRPr="007B14D9">
              <w:rPr>
                <w:rFonts w:hint="eastAsia"/>
                <w:szCs w:val="21"/>
              </w:rPr>
              <w:t>年以下的，得分为</w:t>
            </w:r>
            <w:r w:rsidRPr="007B14D9">
              <w:rPr>
                <w:rFonts w:hint="eastAsia"/>
                <w:szCs w:val="21"/>
              </w:rPr>
              <w:t>1</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rFonts w:hint="eastAsia"/>
                <w:szCs w:val="21"/>
              </w:rPr>
              <w:t>4</w:t>
            </w:r>
            <w:r w:rsidRPr="007B14D9">
              <w:rPr>
                <w:rFonts w:hint="eastAsia"/>
                <w:szCs w:val="21"/>
              </w:rPr>
              <w:t>）开放式基金，得分为</w:t>
            </w:r>
            <w:r w:rsidRPr="007B14D9">
              <w:rPr>
                <w:rFonts w:hint="eastAsia"/>
                <w:szCs w:val="21"/>
              </w:rPr>
              <w:t>0</w:t>
            </w:r>
            <w:r w:rsidRPr="007B14D9">
              <w:rPr>
                <w:rFonts w:hint="eastAsia"/>
                <w:szCs w:val="21"/>
              </w:rPr>
              <w:t>分。</w:t>
            </w:r>
          </w:p>
        </w:tc>
        <w:tc>
          <w:tcPr>
            <w:tcW w:w="1080" w:type="dxa"/>
            <w:vAlign w:val="center"/>
          </w:tcPr>
          <w:p w:rsidR="00720366" w:rsidRPr="007B14D9" w:rsidRDefault="00720366" w:rsidP="006F329C">
            <w:pPr>
              <w:jc w:val="center"/>
            </w:pPr>
          </w:p>
        </w:tc>
      </w:tr>
      <w:tr w:rsidR="00720366" w:rsidRPr="007B14D9" w:rsidTr="006F329C">
        <w:trPr>
          <w:trHeight w:val="722"/>
        </w:trPr>
        <w:tc>
          <w:tcPr>
            <w:tcW w:w="1080" w:type="dxa"/>
            <w:vAlign w:val="center"/>
          </w:tcPr>
          <w:p w:rsidR="00720366" w:rsidRPr="007B14D9" w:rsidRDefault="00720366" w:rsidP="006F329C">
            <w:pPr>
              <w:jc w:val="center"/>
            </w:pPr>
            <w:r w:rsidRPr="007B14D9">
              <w:rPr>
                <w:rFonts w:hint="eastAsia"/>
              </w:rPr>
              <w:t>杠杆比例</w:t>
            </w:r>
          </w:p>
        </w:tc>
        <w:tc>
          <w:tcPr>
            <w:tcW w:w="6120" w:type="dxa"/>
            <w:gridSpan w:val="2"/>
            <w:vAlign w:val="center"/>
          </w:tcPr>
          <w:p w:rsidR="00720366" w:rsidRPr="007B14D9" w:rsidRDefault="00720366" w:rsidP="006F329C">
            <w:pPr>
              <w:rPr>
                <w:szCs w:val="21"/>
              </w:rPr>
            </w:pPr>
            <w:r w:rsidRPr="007B14D9">
              <w:rPr>
                <w:rFonts w:hint="eastAsia"/>
                <w:szCs w:val="21"/>
              </w:rPr>
              <w:t>（</w:t>
            </w:r>
            <w:r w:rsidRPr="007B14D9">
              <w:rPr>
                <w:szCs w:val="21"/>
              </w:rPr>
              <w:t>1</w:t>
            </w:r>
            <w:r w:rsidRPr="007B14D9">
              <w:rPr>
                <w:rFonts w:hint="eastAsia"/>
                <w:szCs w:val="21"/>
              </w:rPr>
              <w:t>）总资产</w:t>
            </w:r>
            <w:r w:rsidRPr="007B14D9">
              <w:rPr>
                <w:szCs w:val="21"/>
              </w:rPr>
              <w:t>/</w:t>
            </w:r>
            <w:r w:rsidRPr="007B14D9">
              <w:rPr>
                <w:rFonts w:hint="eastAsia"/>
                <w:szCs w:val="21"/>
              </w:rPr>
              <w:t>净资产上限大于</w:t>
            </w:r>
            <w:r w:rsidRPr="007B14D9">
              <w:rPr>
                <w:szCs w:val="21"/>
              </w:rPr>
              <w:t>140%</w:t>
            </w:r>
            <w:r w:rsidRPr="007B14D9">
              <w:rPr>
                <w:rFonts w:hint="eastAsia"/>
                <w:szCs w:val="21"/>
              </w:rPr>
              <w:t>，得分为</w:t>
            </w:r>
            <w:r w:rsidRPr="007B14D9">
              <w:rPr>
                <w:szCs w:val="21"/>
              </w:rPr>
              <w:t>2</w:t>
            </w:r>
            <w:r w:rsidRPr="007B14D9">
              <w:rPr>
                <w:rFonts w:hint="eastAsia"/>
                <w:szCs w:val="21"/>
              </w:rPr>
              <w:t>分；</w:t>
            </w:r>
            <w:r w:rsidRPr="007B14D9">
              <w:rPr>
                <w:szCs w:val="21"/>
              </w:rPr>
              <w:t xml:space="preserve"> </w:t>
            </w:r>
          </w:p>
          <w:p w:rsidR="00720366" w:rsidRPr="007B14D9" w:rsidRDefault="00720366" w:rsidP="006F329C">
            <w:pPr>
              <w:rPr>
                <w:szCs w:val="21"/>
              </w:rPr>
            </w:pPr>
            <w:r w:rsidRPr="007B14D9">
              <w:rPr>
                <w:rFonts w:hint="eastAsia"/>
                <w:szCs w:val="21"/>
              </w:rPr>
              <w:t>（</w:t>
            </w:r>
            <w:r w:rsidRPr="007B14D9">
              <w:rPr>
                <w:szCs w:val="21"/>
              </w:rPr>
              <w:t>2</w:t>
            </w:r>
            <w:r w:rsidRPr="007B14D9">
              <w:rPr>
                <w:rFonts w:hint="eastAsia"/>
                <w:szCs w:val="21"/>
              </w:rPr>
              <w:t>）总资产</w:t>
            </w:r>
            <w:r w:rsidRPr="007B14D9">
              <w:rPr>
                <w:szCs w:val="21"/>
              </w:rPr>
              <w:t>/</w:t>
            </w:r>
            <w:r w:rsidRPr="007B14D9">
              <w:rPr>
                <w:rFonts w:hint="eastAsia"/>
                <w:szCs w:val="21"/>
              </w:rPr>
              <w:t>净资产上限小于等于</w:t>
            </w:r>
            <w:r w:rsidRPr="007B14D9">
              <w:rPr>
                <w:szCs w:val="21"/>
              </w:rPr>
              <w:t>140%</w:t>
            </w:r>
            <w:r w:rsidRPr="007B14D9">
              <w:rPr>
                <w:rFonts w:hint="eastAsia"/>
                <w:szCs w:val="21"/>
              </w:rPr>
              <w:t>，得分为</w:t>
            </w:r>
            <w:r w:rsidRPr="007B14D9">
              <w:rPr>
                <w:szCs w:val="21"/>
              </w:rPr>
              <w:t>0</w:t>
            </w:r>
            <w:r w:rsidRPr="007B14D9">
              <w:rPr>
                <w:rFonts w:hint="eastAsia"/>
                <w:szCs w:val="21"/>
              </w:rPr>
              <w:t>分</w:t>
            </w:r>
          </w:p>
        </w:tc>
        <w:tc>
          <w:tcPr>
            <w:tcW w:w="1080" w:type="dxa"/>
            <w:vAlign w:val="center"/>
          </w:tcPr>
          <w:p w:rsidR="00720366" w:rsidRPr="007B14D9" w:rsidRDefault="00720366" w:rsidP="006F329C">
            <w:pPr>
              <w:jc w:val="center"/>
            </w:pPr>
          </w:p>
        </w:tc>
      </w:tr>
      <w:tr w:rsidR="00720366" w:rsidRPr="007B14D9" w:rsidTr="006F329C">
        <w:trPr>
          <w:trHeight w:val="942"/>
        </w:trPr>
        <w:tc>
          <w:tcPr>
            <w:tcW w:w="1080" w:type="dxa"/>
            <w:vAlign w:val="center"/>
          </w:tcPr>
          <w:p w:rsidR="00720366" w:rsidRPr="007B14D9" w:rsidRDefault="00720366" w:rsidP="006F329C">
            <w:pPr>
              <w:jc w:val="center"/>
            </w:pPr>
            <w:r w:rsidRPr="007B14D9">
              <w:rPr>
                <w:rFonts w:hint="eastAsia"/>
              </w:rPr>
              <w:t>结构</w:t>
            </w:r>
          </w:p>
          <w:p w:rsidR="00720366" w:rsidRPr="007B14D9" w:rsidRDefault="00720366" w:rsidP="006F329C">
            <w:pPr>
              <w:jc w:val="center"/>
            </w:pPr>
            <w:r w:rsidRPr="007B14D9">
              <w:rPr>
                <w:rFonts w:hint="eastAsia"/>
              </w:rPr>
              <w:t>复杂性</w:t>
            </w:r>
          </w:p>
        </w:tc>
        <w:tc>
          <w:tcPr>
            <w:tcW w:w="6120" w:type="dxa"/>
            <w:gridSpan w:val="2"/>
            <w:vAlign w:val="center"/>
          </w:tcPr>
          <w:p w:rsidR="00720366" w:rsidRPr="007B14D9" w:rsidRDefault="00720366" w:rsidP="006F329C">
            <w:pPr>
              <w:rPr>
                <w:szCs w:val="21"/>
              </w:rPr>
            </w:pPr>
            <w:r w:rsidRPr="007B14D9">
              <w:rPr>
                <w:rFonts w:hint="eastAsia"/>
                <w:szCs w:val="21"/>
              </w:rPr>
              <w:t>（</w:t>
            </w:r>
            <w:r w:rsidR="00A3231D" w:rsidRPr="007B14D9">
              <w:rPr>
                <w:rFonts w:hint="eastAsia"/>
                <w:szCs w:val="21"/>
              </w:rPr>
              <w:t>1</w:t>
            </w:r>
            <w:r w:rsidRPr="007B14D9">
              <w:rPr>
                <w:rFonts w:hint="eastAsia"/>
                <w:szCs w:val="21"/>
              </w:rPr>
              <w:t>）分级基金劣后级，得分为</w:t>
            </w:r>
            <w:r w:rsidR="001701DC">
              <w:rPr>
                <w:rFonts w:hint="eastAsia"/>
                <w:szCs w:val="21"/>
              </w:rPr>
              <w:t>30</w:t>
            </w:r>
            <w:r w:rsidRPr="007B14D9">
              <w:rPr>
                <w:rFonts w:hint="eastAsia"/>
                <w:szCs w:val="21"/>
              </w:rPr>
              <w:t>分；</w:t>
            </w:r>
          </w:p>
          <w:p w:rsidR="00720366" w:rsidRPr="007B14D9" w:rsidRDefault="00720366" w:rsidP="006F329C">
            <w:pPr>
              <w:rPr>
                <w:szCs w:val="21"/>
              </w:rPr>
            </w:pPr>
            <w:r w:rsidRPr="007B14D9">
              <w:rPr>
                <w:rFonts w:hint="eastAsia"/>
                <w:szCs w:val="21"/>
              </w:rPr>
              <w:t>（</w:t>
            </w:r>
            <w:r w:rsidR="00A3231D" w:rsidRPr="007B14D9">
              <w:rPr>
                <w:rFonts w:hint="eastAsia"/>
                <w:szCs w:val="21"/>
              </w:rPr>
              <w:t>2</w:t>
            </w:r>
            <w:r w:rsidRPr="007B14D9">
              <w:rPr>
                <w:rFonts w:hint="eastAsia"/>
                <w:szCs w:val="21"/>
              </w:rPr>
              <w:t>）分级基金优先级，得分为</w:t>
            </w:r>
            <w:r w:rsidR="00E45477" w:rsidRPr="007B14D9">
              <w:rPr>
                <w:rFonts w:hint="eastAsia"/>
                <w:szCs w:val="21"/>
              </w:rPr>
              <w:t>2</w:t>
            </w:r>
            <w:r w:rsidRPr="007B14D9">
              <w:rPr>
                <w:rFonts w:hint="eastAsia"/>
                <w:szCs w:val="21"/>
              </w:rPr>
              <w:t>分；</w:t>
            </w:r>
          </w:p>
          <w:p w:rsidR="00720366" w:rsidRPr="007B14D9" w:rsidRDefault="00720366" w:rsidP="00A3231D">
            <w:pPr>
              <w:rPr>
                <w:szCs w:val="21"/>
              </w:rPr>
            </w:pPr>
            <w:r w:rsidRPr="007B14D9">
              <w:rPr>
                <w:rFonts w:hint="eastAsia"/>
                <w:szCs w:val="21"/>
              </w:rPr>
              <w:t>（</w:t>
            </w:r>
            <w:r w:rsidR="00A3231D" w:rsidRPr="007B14D9">
              <w:rPr>
                <w:rFonts w:hint="eastAsia"/>
                <w:szCs w:val="21"/>
              </w:rPr>
              <w:t>3</w:t>
            </w:r>
            <w:r w:rsidRPr="007B14D9">
              <w:rPr>
                <w:rFonts w:hint="eastAsia"/>
                <w:szCs w:val="21"/>
              </w:rPr>
              <w:t>）非分级基金，得分为</w:t>
            </w:r>
            <w:r w:rsidRPr="007B14D9">
              <w:rPr>
                <w:szCs w:val="21"/>
              </w:rPr>
              <w:t>0</w:t>
            </w:r>
            <w:r w:rsidRPr="007B14D9">
              <w:rPr>
                <w:rFonts w:hint="eastAsia"/>
                <w:szCs w:val="21"/>
              </w:rPr>
              <w:t>分。</w:t>
            </w:r>
          </w:p>
        </w:tc>
        <w:tc>
          <w:tcPr>
            <w:tcW w:w="1080" w:type="dxa"/>
            <w:vAlign w:val="center"/>
          </w:tcPr>
          <w:p w:rsidR="00720366" w:rsidRPr="007B14D9" w:rsidRDefault="00720366" w:rsidP="006F329C">
            <w:pPr>
              <w:jc w:val="center"/>
            </w:pPr>
          </w:p>
        </w:tc>
      </w:tr>
      <w:tr w:rsidR="00720366" w:rsidRPr="007B14D9" w:rsidTr="006F329C">
        <w:trPr>
          <w:trHeight w:val="842"/>
        </w:trPr>
        <w:tc>
          <w:tcPr>
            <w:tcW w:w="1080" w:type="dxa"/>
            <w:vAlign w:val="center"/>
          </w:tcPr>
          <w:p w:rsidR="00720366" w:rsidRPr="007B14D9" w:rsidRDefault="00720366" w:rsidP="006F329C">
            <w:r w:rsidRPr="007B14D9">
              <w:rPr>
                <w:rFonts w:hint="eastAsia"/>
              </w:rPr>
              <w:t>投资门槛</w:t>
            </w:r>
          </w:p>
        </w:tc>
        <w:tc>
          <w:tcPr>
            <w:tcW w:w="6120" w:type="dxa"/>
            <w:gridSpan w:val="2"/>
            <w:vAlign w:val="center"/>
          </w:tcPr>
          <w:p w:rsidR="00720366" w:rsidRPr="007B14D9" w:rsidRDefault="00720366" w:rsidP="006F329C">
            <w:pPr>
              <w:rPr>
                <w:szCs w:val="21"/>
              </w:rPr>
            </w:pPr>
            <w:r w:rsidRPr="007B14D9">
              <w:rPr>
                <w:rFonts w:hint="eastAsia"/>
                <w:szCs w:val="21"/>
              </w:rPr>
              <w:t>同一基金风险收益特征类似的不同分类除外</w:t>
            </w:r>
          </w:p>
          <w:p w:rsidR="00720366" w:rsidRPr="007B14D9" w:rsidRDefault="00720366" w:rsidP="006F329C">
            <w:pPr>
              <w:rPr>
                <w:szCs w:val="21"/>
              </w:rPr>
            </w:pPr>
            <w:r w:rsidRPr="007B14D9">
              <w:rPr>
                <w:rFonts w:hint="eastAsia"/>
                <w:szCs w:val="21"/>
              </w:rPr>
              <w:t>（</w:t>
            </w:r>
            <w:r w:rsidRPr="007B14D9">
              <w:rPr>
                <w:rFonts w:hint="eastAsia"/>
                <w:szCs w:val="21"/>
              </w:rPr>
              <w:t>1</w:t>
            </w:r>
            <w:r w:rsidRPr="007B14D9">
              <w:rPr>
                <w:rFonts w:hint="eastAsia"/>
                <w:szCs w:val="21"/>
              </w:rPr>
              <w:t>）投资最低金额</w:t>
            </w:r>
            <w:r w:rsidRPr="007B14D9">
              <w:rPr>
                <w:szCs w:val="21"/>
              </w:rPr>
              <w:t>5</w:t>
            </w:r>
            <w:r w:rsidRPr="007B14D9">
              <w:rPr>
                <w:rFonts w:hint="eastAsia"/>
                <w:szCs w:val="21"/>
              </w:rPr>
              <w:t>万元及以上的，得分为</w:t>
            </w:r>
            <w:r w:rsidR="007530B7" w:rsidRPr="007B14D9">
              <w:rPr>
                <w:rFonts w:hint="eastAsia"/>
                <w:szCs w:val="21"/>
              </w:rPr>
              <w:t>1</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rFonts w:hint="eastAsia"/>
                <w:szCs w:val="21"/>
              </w:rPr>
              <w:t>2</w:t>
            </w:r>
            <w:r w:rsidRPr="007B14D9">
              <w:rPr>
                <w:rFonts w:hint="eastAsia"/>
                <w:szCs w:val="21"/>
              </w:rPr>
              <w:t>）投资最低金额</w:t>
            </w:r>
            <w:r w:rsidRPr="007B14D9">
              <w:rPr>
                <w:szCs w:val="21"/>
              </w:rPr>
              <w:t>5</w:t>
            </w:r>
            <w:r w:rsidRPr="007B14D9">
              <w:rPr>
                <w:rFonts w:hint="eastAsia"/>
                <w:szCs w:val="21"/>
              </w:rPr>
              <w:t>万元以下的，得分为</w:t>
            </w:r>
            <w:r w:rsidRPr="007B14D9">
              <w:rPr>
                <w:szCs w:val="21"/>
              </w:rPr>
              <w:t>0</w:t>
            </w:r>
            <w:r w:rsidRPr="007B14D9">
              <w:rPr>
                <w:rFonts w:hint="eastAsia"/>
                <w:szCs w:val="21"/>
              </w:rPr>
              <w:t>分。</w:t>
            </w:r>
          </w:p>
        </w:tc>
        <w:tc>
          <w:tcPr>
            <w:tcW w:w="1080" w:type="dxa"/>
            <w:vAlign w:val="center"/>
          </w:tcPr>
          <w:p w:rsidR="00720366" w:rsidRPr="007B14D9" w:rsidRDefault="00720366" w:rsidP="006F329C">
            <w:pPr>
              <w:jc w:val="center"/>
            </w:pPr>
          </w:p>
        </w:tc>
      </w:tr>
      <w:tr w:rsidR="00720366" w:rsidRPr="007B14D9" w:rsidTr="006F329C">
        <w:trPr>
          <w:trHeight w:val="608"/>
        </w:trPr>
        <w:tc>
          <w:tcPr>
            <w:tcW w:w="1080" w:type="dxa"/>
            <w:vAlign w:val="center"/>
          </w:tcPr>
          <w:p w:rsidR="00720366" w:rsidRPr="007B14D9" w:rsidRDefault="00720366" w:rsidP="006F329C">
            <w:pPr>
              <w:jc w:val="center"/>
            </w:pPr>
            <w:r w:rsidRPr="007B14D9">
              <w:rPr>
                <w:rFonts w:hint="eastAsia"/>
              </w:rPr>
              <w:t>募集方式</w:t>
            </w:r>
          </w:p>
        </w:tc>
        <w:tc>
          <w:tcPr>
            <w:tcW w:w="6120" w:type="dxa"/>
            <w:gridSpan w:val="2"/>
            <w:vAlign w:val="center"/>
          </w:tcPr>
          <w:p w:rsidR="00720366" w:rsidRPr="007B14D9" w:rsidRDefault="00720366" w:rsidP="006F329C">
            <w:pPr>
              <w:rPr>
                <w:szCs w:val="21"/>
              </w:rPr>
            </w:pPr>
            <w:r w:rsidRPr="007B14D9">
              <w:rPr>
                <w:rFonts w:hint="eastAsia"/>
                <w:szCs w:val="21"/>
              </w:rPr>
              <w:t>（</w:t>
            </w:r>
            <w:r w:rsidRPr="007B14D9">
              <w:rPr>
                <w:szCs w:val="21"/>
              </w:rPr>
              <w:t>1</w:t>
            </w:r>
            <w:r w:rsidRPr="007B14D9">
              <w:rPr>
                <w:rFonts w:hint="eastAsia"/>
                <w:szCs w:val="21"/>
              </w:rPr>
              <w:t>）定制公募，得分为</w:t>
            </w:r>
            <w:r w:rsidR="007530B7" w:rsidRPr="007B14D9">
              <w:rPr>
                <w:rFonts w:hint="eastAsia"/>
                <w:szCs w:val="21"/>
              </w:rPr>
              <w:t>1</w:t>
            </w:r>
            <w:r w:rsidRPr="007B14D9">
              <w:rPr>
                <w:rFonts w:hint="eastAsia"/>
                <w:szCs w:val="21"/>
              </w:rPr>
              <w:t>分；</w:t>
            </w:r>
            <w:r w:rsidRPr="007B14D9">
              <w:rPr>
                <w:szCs w:val="21"/>
              </w:rPr>
              <w:t xml:space="preserve"> </w:t>
            </w:r>
          </w:p>
          <w:p w:rsidR="00720366" w:rsidRPr="007B14D9" w:rsidRDefault="00720366" w:rsidP="006F329C">
            <w:pPr>
              <w:rPr>
                <w:szCs w:val="21"/>
              </w:rPr>
            </w:pPr>
            <w:r w:rsidRPr="007B14D9">
              <w:rPr>
                <w:rFonts w:hint="eastAsia"/>
                <w:szCs w:val="21"/>
              </w:rPr>
              <w:t>（</w:t>
            </w:r>
            <w:r w:rsidRPr="007B14D9">
              <w:rPr>
                <w:szCs w:val="21"/>
              </w:rPr>
              <w:t>2</w:t>
            </w:r>
            <w:r w:rsidRPr="007B14D9">
              <w:rPr>
                <w:rFonts w:hint="eastAsia"/>
                <w:szCs w:val="21"/>
              </w:rPr>
              <w:t>）非定制公募，得分为</w:t>
            </w:r>
            <w:r w:rsidRPr="007B14D9">
              <w:rPr>
                <w:szCs w:val="21"/>
              </w:rPr>
              <w:t>0</w:t>
            </w:r>
            <w:r w:rsidRPr="007B14D9">
              <w:rPr>
                <w:rFonts w:hint="eastAsia"/>
                <w:szCs w:val="21"/>
              </w:rPr>
              <w:t>分。</w:t>
            </w:r>
          </w:p>
        </w:tc>
        <w:tc>
          <w:tcPr>
            <w:tcW w:w="1080" w:type="dxa"/>
            <w:vAlign w:val="center"/>
          </w:tcPr>
          <w:p w:rsidR="00720366" w:rsidRPr="007B14D9" w:rsidRDefault="00720366" w:rsidP="006F329C">
            <w:pPr>
              <w:jc w:val="center"/>
            </w:pPr>
          </w:p>
        </w:tc>
      </w:tr>
      <w:tr w:rsidR="00720366" w:rsidRPr="007B14D9" w:rsidTr="006F329C">
        <w:trPr>
          <w:trHeight w:val="842"/>
        </w:trPr>
        <w:tc>
          <w:tcPr>
            <w:tcW w:w="1080" w:type="dxa"/>
            <w:vAlign w:val="center"/>
          </w:tcPr>
          <w:p w:rsidR="00720366" w:rsidRPr="007B14D9" w:rsidRDefault="00720366" w:rsidP="006F329C">
            <w:r w:rsidRPr="007B14D9">
              <w:rPr>
                <w:rFonts w:hint="eastAsia"/>
              </w:rPr>
              <w:t>违规行为</w:t>
            </w:r>
          </w:p>
        </w:tc>
        <w:tc>
          <w:tcPr>
            <w:tcW w:w="6120" w:type="dxa"/>
            <w:gridSpan w:val="2"/>
            <w:vAlign w:val="center"/>
          </w:tcPr>
          <w:p w:rsidR="00720366" w:rsidRPr="007B14D9" w:rsidRDefault="00720366" w:rsidP="006F329C">
            <w:pPr>
              <w:rPr>
                <w:szCs w:val="21"/>
              </w:rPr>
            </w:pPr>
            <w:r w:rsidRPr="007B14D9">
              <w:rPr>
                <w:rFonts w:hint="eastAsia"/>
                <w:szCs w:val="21"/>
              </w:rPr>
              <w:t>（</w:t>
            </w:r>
            <w:r w:rsidRPr="007B14D9">
              <w:rPr>
                <w:rFonts w:hint="eastAsia"/>
                <w:szCs w:val="21"/>
              </w:rPr>
              <w:t>1</w:t>
            </w:r>
            <w:r w:rsidRPr="007B14D9">
              <w:rPr>
                <w:rFonts w:hint="eastAsia"/>
                <w:szCs w:val="21"/>
              </w:rPr>
              <w:t>）基金成立以来有重大违规行为发生的，得分为</w:t>
            </w:r>
            <w:r w:rsidRPr="007B14D9">
              <w:rPr>
                <w:rFonts w:hint="eastAsia"/>
                <w:szCs w:val="21"/>
              </w:rPr>
              <w:t>3</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rFonts w:hint="eastAsia"/>
                <w:szCs w:val="21"/>
              </w:rPr>
              <w:t>2</w:t>
            </w:r>
            <w:r w:rsidRPr="007B14D9">
              <w:rPr>
                <w:rFonts w:hint="eastAsia"/>
                <w:szCs w:val="21"/>
              </w:rPr>
              <w:t>）基金成立以来有一般违规行为发生的，得分为</w:t>
            </w:r>
            <w:r w:rsidRPr="007B14D9">
              <w:rPr>
                <w:rFonts w:hint="eastAsia"/>
                <w:szCs w:val="21"/>
              </w:rPr>
              <w:t>2</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rFonts w:hint="eastAsia"/>
                <w:szCs w:val="21"/>
              </w:rPr>
              <w:t>3</w:t>
            </w:r>
            <w:r w:rsidRPr="007B14D9">
              <w:rPr>
                <w:rFonts w:hint="eastAsia"/>
                <w:szCs w:val="21"/>
              </w:rPr>
              <w:t>）基金成立以来无违规行为发生的，得分为</w:t>
            </w:r>
            <w:r w:rsidRPr="007B14D9">
              <w:rPr>
                <w:rFonts w:hint="eastAsia"/>
                <w:szCs w:val="21"/>
              </w:rPr>
              <w:t>0</w:t>
            </w:r>
            <w:r w:rsidRPr="007B14D9">
              <w:rPr>
                <w:rFonts w:hint="eastAsia"/>
                <w:szCs w:val="21"/>
              </w:rPr>
              <w:t>分。</w:t>
            </w:r>
          </w:p>
        </w:tc>
        <w:tc>
          <w:tcPr>
            <w:tcW w:w="1080" w:type="dxa"/>
            <w:vAlign w:val="center"/>
          </w:tcPr>
          <w:p w:rsidR="00720366" w:rsidRPr="007B14D9" w:rsidRDefault="00720366" w:rsidP="006F329C">
            <w:pPr>
              <w:jc w:val="center"/>
            </w:pPr>
          </w:p>
        </w:tc>
      </w:tr>
      <w:tr w:rsidR="00720366" w:rsidRPr="007B14D9" w:rsidTr="006F329C">
        <w:trPr>
          <w:trHeight w:val="600"/>
        </w:trPr>
        <w:tc>
          <w:tcPr>
            <w:tcW w:w="1080" w:type="dxa"/>
            <w:vAlign w:val="center"/>
          </w:tcPr>
          <w:p w:rsidR="00720366" w:rsidRPr="007B14D9" w:rsidRDefault="00720366" w:rsidP="006F329C">
            <w:pPr>
              <w:jc w:val="center"/>
            </w:pPr>
            <w:r w:rsidRPr="007B14D9">
              <w:rPr>
                <w:rFonts w:hint="eastAsia"/>
              </w:rPr>
              <w:t>历史规模</w:t>
            </w:r>
          </w:p>
        </w:tc>
        <w:tc>
          <w:tcPr>
            <w:tcW w:w="6120" w:type="dxa"/>
            <w:gridSpan w:val="2"/>
            <w:vAlign w:val="center"/>
          </w:tcPr>
          <w:p w:rsidR="00720366" w:rsidRPr="007B14D9" w:rsidRDefault="00720366" w:rsidP="006F329C">
            <w:pPr>
              <w:rPr>
                <w:szCs w:val="21"/>
              </w:rPr>
            </w:pPr>
            <w:r w:rsidRPr="007B14D9">
              <w:rPr>
                <w:rFonts w:hint="eastAsia"/>
                <w:szCs w:val="21"/>
              </w:rPr>
              <w:t>（</w:t>
            </w:r>
            <w:r w:rsidRPr="007B14D9">
              <w:rPr>
                <w:szCs w:val="21"/>
              </w:rPr>
              <w:t>1</w:t>
            </w:r>
            <w:r w:rsidRPr="007B14D9">
              <w:rPr>
                <w:rFonts w:hint="eastAsia"/>
                <w:szCs w:val="21"/>
              </w:rPr>
              <w:t>）最新规模小于五千万元，得分为</w:t>
            </w:r>
            <w:r w:rsidRPr="007B14D9">
              <w:rPr>
                <w:szCs w:val="21"/>
              </w:rPr>
              <w:t>1</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szCs w:val="21"/>
              </w:rPr>
              <w:t>2</w:t>
            </w:r>
            <w:r w:rsidRPr="007B14D9">
              <w:rPr>
                <w:rFonts w:hint="eastAsia"/>
                <w:szCs w:val="21"/>
              </w:rPr>
              <w:t>）最新规模大于等于五千万元，得分为</w:t>
            </w:r>
            <w:r w:rsidRPr="007B14D9">
              <w:rPr>
                <w:szCs w:val="21"/>
              </w:rPr>
              <w:t>0</w:t>
            </w:r>
            <w:r w:rsidRPr="007B14D9">
              <w:rPr>
                <w:rFonts w:hint="eastAsia"/>
                <w:szCs w:val="21"/>
              </w:rPr>
              <w:t>分。</w:t>
            </w:r>
          </w:p>
        </w:tc>
        <w:tc>
          <w:tcPr>
            <w:tcW w:w="1080" w:type="dxa"/>
            <w:vAlign w:val="center"/>
          </w:tcPr>
          <w:p w:rsidR="00720366" w:rsidRPr="007B14D9" w:rsidRDefault="00720366" w:rsidP="006F329C">
            <w:pPr>
              <w:ind w:firstLineChars="150" w:firstLine="315"/>
            </w:pPr>
          </w:p>
        </w:tc>
      </w:tr>
      <w:tr w:rsidR="00720366" w:rsidRPr="007C3FFD" w:rsidTr="006F329C">
        <w:trPr>
          <w:trHeight w:val="675"/>
        </w:trPr>
        <w:tc>
          <w:tcPr>
            <w:tcW w:w="1080" w:type="dxa"/>
            <w:vAlign w:val="center"/>
          </w:tcPr>
          <w:p w:rsidR="00720366" w:rsidRPr="007B14D9" w:rsidRDefault="00720366" w:rsidP="006F329C">
            <w:pPr>
              <w:jc w:val="center"/>
            </w:pPr>
            <w:r w:rsidRPr="007B14D9">
              <w:rPr>
                <w:rFonts w:hint="eastAsia"/>
              </w:rPr>
              <w:t>基金业绩</w:t>
            </w:r>
          </w:p>
        </w:tc>
        <w:tc>
          <w:tcPr>
            <w:tcW w:w="6120" w:type="dxa"/>
            <w:gridSpan w:val="2"/>
            <w:vAlign w:val="center"/>
          </w:tcPr>
          <w:p w:rsidR="00720366" w:rsidRPr="007B14D9" w:rsidRDefault="00720366" w:rsidP="007C3FFD">
            <w:pPr>
              <w:rPr>
                <w:szCs w:val="21"/>
              </w:rPr>
            </w:pPr>
            <w:r w:rsidRPr="007B14D9">
              <w:rPr>
                <w:rFonts w:hint="eastAsia"/>
                <w:szCs w:val="21"/>
              </w:rPr>
              <w:t>（</w:t>
            </w:r>
            <w:r w:rsidRPr="007B14D9">
              <w:rPr>
                <w:szCs w:val="21"/>
              </w:rPr>
              <w:t>1</w:t>
            </w:r>
            <w:r w:rsidRPr="007B14D9">
              <w:rPr>
                <w:rFonts w:hint="eastAsia"/>
                <w:szCs w:val="21"/>
              </w:rPr>
              <w:t>）最近一年业绩在同类型基金中后</w:t>
            </w:r>
            <w:r w:rsidRPr="007B14D9">
              <w:rPr>
                <w:szCs w:val="21"/>
              </w:rPr>
              <w:t>50%</w:t>
            </w:r>
            <w:r w:rsidRPr="007B14D9">
              <w:rPr>
                <w:rFonts w:hint="eastAsia"/>
                <w:szCs w:val="21"/>
              </w:rPr>
              <w:t>，得分为</w:t>
            </w:r>
            <w:r w:rsidRPr="007B14D9">
              <w:rPr>
                <w:szCs w:val="21"/>
              </w:rPr>
              <w:t>1</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szCs w:val="21"/>
              </w:rPr>
              <w:t>2</w:t>
            </w:r>
            <w:r w:rsidRPr="007B14D9">
              <w:rPr>
                <w:rFonts w:hint="eastAsia"/>
                <w:szCs w:val="21"/>
              </w:rPr>
              <w:t>）最近一年业绩在同类型基金中前</w:t>
            </w:r>
            <w:r w:rsidRPr="007B14D9">
              <w:rPr>
                <w:szCs w:val="21"/>
              </w:rPr>
              <w:t>50%</w:t>
            </w:r>
            <w:r w:rsidRPr="007B14D9">
              <w:rPr>
                <w:rFonts w:hint="eastAsia"/>
                <w:szCs w:val="21"/>
              </w:rPr>
              <w:t>，得分为</w:t>
            </w:r>
            <w:r w:rsidRPr="007B14D9">
              <w:rPr>
                <w:szCs w:val="21"/>
              </w:rPr>
              <w:t>0</w:t>
            </w:r>
            <w:r w:rsidRPr="007B14D9">
              <w:rPr>
                <w:rFonts w:hint="eastAsia"/>
                <w:szCs w:val="21"/>
              </w:rPr>
              <w:t>分。</w:t>
            </w:r>
          </w:p>
        </w:tc>
        <w:tc>
          <w:tcPr>
            <w:tcW w:w="1080" w:type="dxa"/>
            <w:vAlign w:val="center"/>
          </w:tcPr>
          <w:p w:rsidR="00720366" w:rsidRPr="007B14D9" w:rsidRDefault="00720366" w:rsidP="006F329C">
            <w:pPr>
              <w:ind w:firstLineChars="150" w:firstLine="315"/>
            </w:pPr>
          </w:p>
        </w:tc>
      </w:tr>
      <w:tr w:rsidR="00720366" w:rsidRPr="007B14D9" w:rsidTr="006F329C">
        <w:trPr>
          <w:trHeight w:val="698"/>
        </w:trPr>
        <w:tc>
          <w:tcPr>
            <w:tcW w:w="1080" w:type="dxa"/>
            <w:vAlign w:val="center"/>
          </w:tcPr>
          <w:p w:rsidR="00720366" w:rsidRPr="007B14D9" w:rsidRDefault="00720366" w:rsidP="006F329C">
            <w:pPr>
              <w:jc w:val="center"/>
            </w:pPr>
            <w:r w:rsidRPr="007B14D9">
              <w:rPr>
                <w:rFonts w:hint="eastAsia"/>
              </w:rPr>
              <w:t>业绩</w:t>
            </w:r>
          </w:p>
          <w:p w:rsidR="00720366" w:rsidRPr="007B14D9" w:rsidRDefault="00720366" w:rsidP="006F329C">
            <w:pPr>
              <w:jc w:val="center"/>
            </w:pPr>
            <w:r w:rsidRPr="007B14D9">
              <w:rPr>
                <w:rFonts w:hint="eastAsia"/>
              </w:rPr>
              <w:t>波动性</w:t>
            </w:r>
          </w:p>
        </w:tc>
        <w:tc>
          <w:tcPr>
            <w:tcW w:w="6120" w:type="dxa"/>
            <w:gridSpan w:val="2"/>
            <w:vAlign w:val="center"/>
          </w:tcPr>
          <w:p w:rsidR="00720366" w:rsidRPr="007B14D9" w:rsidRDefault="00720366" w:rsidP="006F329C">
            <w:pPr>
              <w:rPr>
                <w:szCs w:val="21"/>
              </w:rPr>
            </w:pPr>
            <w:r w:rsidRPr="007B14D9">
              <w:rPr>
                <w:rFonts w:hint="eastAsia"/>
                <w:szCs w:val="21"/>
              </w:rPr>
              <w:t>（</w:t>
            </w:r>
            <w:r w:rsidRPr="007B14D9">
              <w:rPr>
                <w:szCs w:val="21"/>
              </w:rPr>
              <w:t>1</w:t>
            </w:r>
            <w:r w:rsidRPr="007B14D9">
              <w:rPr>
                <w:rFonts w:hint="eastAsia"/>
                <w:szCs w:val="21"/>
              </w:rPr>
              <w:t>）最近一年净值波动率在同类型基金中前</w:t>
            </w:r>
            <w:r w:rsidRPr="007B14D9">
              <w:rPr>
                <w:szCs w:val="21"/>
              </w:rPr>
              <w:t>50%</w:t>
            </w:r>
            <w:r w:rsidRPr="007B14D9">
              <w:rPr>
                <w:rFonts w:hint="eastAsia"/>
                <w:szCs w:val="21"/>
              </w:rPr>
              <w:t>，得分为</w:t>
            </w:r>
            <w:r w:rsidRPr="007B14D9">
              <w:rPr>
                <w:szCs w:val="21"/>
              </w:rPr>
              <w:t>1</w:t>
            </w:r>
            <w:r w:rsidRPr="007B14D9">
              <w:rPr>
                <w:rFonts w:hint="eastAsia"/>
                <w:szCs w:val="21"/>
              </w:rPr>
              <w:t>分；</w:t>
            </w:r>
          </w:p>
          <w:p w:rsidR="00C53051" w:rsidRDefault="00720366" w:rsidP="001171A0">
            <w:pPr>
              <w:rPr>
                <w:szCs w:val="21"/>
              </w:rPr>
            </w:pPr>
            <w:r w:rsidRPr="007B14D9">
              <w:rPr>
                <w:rFonts w:hint="eastAsia"/>
                <w:szCs w:val="21"/>
              </w:rPr>
              <w:t>（</w:t>
            </w:r>
            <w:r w:rsidRPr="007B14D9">
              <w:rPr>
                <w:szCs w:val="21"/>
              </w:rPr>
              <w:t>2</w:t>
            </w:r>
            <w:r w:rsidRPr="007B14D9">
              <w:rPr>
                <w:rFonts w:hint="eastAsia"/>
                <w:szCs w:val="21"/>
              </w:rPr>
              <w:t>）最近一年净值波动率在同类型基金中后</w:t>
            </w:r>
            <w:r w:rsidRPr="007B14D9">
              <w:rPr>
                <w:szCs w:val="21"/>
              </w:rPr>
              <w:t>50%</w:t>
            </w:r>
            <w:r w:rsidRPr="007B14D9">
              <w:rPr>
                <w:rFonts w:hint="eastAsia"/>
                <w:szCs w:val="21"/>
              </w:rPr>
              <w:t>，得分为</w:t>
            </w:r>
            <w:r w:rsidRPr="007B14D9">
              <w:rPr>
                <w:szCs w:val="21"/>
              </w:rPr>
              <w:t>0</w:t>
            </w:r>
            <w:r w:rsidRPr="007B14D9">
              <w:rPr>
                <w:rFonts w:hint="eastAsia"/>
                <w:szCs w:val="21"/>
              </w:rPr>
              <w:t>分</w:t>
            </w:r>
            <w:r w:rsidR="006E12BC">
              <w:rPr>
                <w:rFonts w:hint="eastAsia"/>
                <w:szCs w:val="21"/>
              </w:rPr>
              <w:t>。</w:t>
            </w:r>
          </w:p>
        </w:tc>
        <w:tc>
          <w:tcPr>
            <w:tcW w:w="1080" w:type="dxa"/>
            <w:vAlign w:val="center"/>
          </w:tcPr>
          <w:p w:rsidR="00720366" w:rsidRPr="007B14D9" w:rsidRDefault="00720366" w:rsidP="006F329C">
            <w:pPr>
              <w:ind w:firstLineChars="150" w:firstLine="315"/>
            </w:pPr>
          </w:p>
        </w:tc>
      </w:tr>
      <w:tr w:rsidR="00720366" w:rsidRPr="007B14D9" w:rsidTr="006F329C">
        <w:trPr>
          <w:trHeight w:val="79"/>
        </w:trPr>
        <w:tc>
          <w:tcPr>
            <w:tcW w:w="1080" w:type="dxa"/>
            <w:vAlign w:val="center"/>
          </w:tcPr>
          <w:p w:rsidR="00720366" w:rsidRPr="007B14D9" w:rsidRDefault="00720366" w:rsidP="006F329C">
            <w:pPr>
              <w:jc w:val="center"/>
            </w:pPr>
            <w:r w:rsidRPr="007B14D9">
              <w:rPr>
                <w:rFonts w:hint="eastAsia"/>
              </w:rPr>
              <w:t>股票持仓</w:t>
            </w:r>
          </w:p>
        </w:tc>
        <w:tc>
          <w:tcPr>
            <w:tcW w:w="6120" w:type="dxa"/>
            <w:gridSpan w:val="2"/>
            <w:vAlign w:val="center"/>
          </w:tcPr>
          <w:p w:rsidR="00720366" w:rsidRPr="007B14D9" w:rsidRDefault="00720366" w:rsidP="006F329C">
            <w:pPr>
              <w:rPr>
                <w:szCs w:val="21"/>
              </w:rPr>
            </w:pPr>
            <w:r w:rsidRPr="007B14D9">
              <w:rPr>
                <w:rFonts w:hint="eastAsia"/>
                <w:szCs w:val="21"/>
              </w:rPr>
              <w:t>（</w:t>
            </w:r>
            <w:r w:rsidRPr="007B14D9">
              <w:rPr>
                <w:rFonts w:hint="eastAsia"/>
                <w:szCs w:val="21"/>
              </w:rPr>
              <w:t>1</w:t>
            </w:r>
            <w:r w:rsidRPr="007B14D9">
              <w:rPr>
                <w:rFonts w:hint="eastAsia"/>
                <w:szCs w:val="21"/>
              </w:rPr>
              <w:t>）</w:t>
            </w:r>
            <w:r w:rsidRPr="007B14D9">
              <w:rPr>
                <w:rFonts w:hint="eastAsia"/>
                <w:szCs w:val="21"/>
              </w:rPr>
              <w:t>75%</w:t>
            </w:r>
            <w:r w:rsidRPr="007B14D9">
              <w:rPr>
                <w:rFonts w:hint="eastAsia"/>
                <w:szCs w:val="21"/>
              </w:rPr>
              <w:t>﹤股票持仓</w:t>
            </w:r>
            <w:r w:rsidR="00253283">
              <w:rPr>
                <w:rFonts w:hint="eastAsia"/>
                <w:szCs w:val="21"/>
              </w:rPr>
              <w:t>均值</w:t>
            </w:r>
            <w:r w:rsidRPr="007B14D9">
              <w:rPr>
                <w:rFonts w:hint="eastAsia"/>
                <w:szCs w:val="21"/>
              </w:rPr>
              <w:t>≤</w:t>
            </w:r>
            <w:r w:rsidRPr="007B14D9">
              <w:rPr>
                <w:rFonts w:hint="eastAsia"/>
                <w:szCs w:val="21"/>
              </w:rPr>
              <w:t>100%</w:t>
            </w:r>
            <w:r w:rsidRPr="007B14D9">
              <w:rPr>
                <w:rFonts w:hint="eastAsia"/>
                <w:szCs w:val="21"/>
              </w:rPr>
              <w:t>，得分为</w:t>
            </w:r>
            <w:r w:rsidRPr="007B14D9">
              <w:rPr>
                <w:rFonts w:hint="eastAsia"/>
                <w:szCs w:val="21"/>
              </w:rPr>
              <w:t>3</w:t>
            </w:r>
            <w:r w:rsidRPr="007B14D9">
              <w:rPr>
                <w:rFonts w:hint="eastAsia"/>
                <w:szCs w:val="21"/>
              </w:rPr>
              <w:t>分；</w:t>
            </w:r>
            <w:r w:rsidRPr="007B14D9">
              <w:rPr>
                <w:rFonts w:hint="eastAsia"/>
                <w:szCs w:val="21"/>
              </w:rPr>
              <w:t xml:space="preserve"> </w:t>
            </w:r>
          </w:p>
          <w:p w:rsidR="00720366" w:rsidRPr="007B14D9" w:rsidRDefault="00720366" w:rsidP="006F329C">
            <w:pPr>
              <w:rPr>
                <w:szCs w:val="21"/>
              </w:rPr>
            </w:pPr>
            <w:r w:rsidRPr="007B14D9">
              <w:rPr>
                <w:rFonts w:hint="eastAsia"/>
                <w:szCs w:val="21"/>
              </w:rPr>
              <w:t>（</w:t>
            </w:r>
            <w:r w:rsidRPr="007B14D9">
              <w:rPr>
                <w:rFonts w:hint="eastAsia"/>
                <w:szCs w:val="21"/>
              </w:rPr>
              <w:t>2</w:t>
            </w:r>
            <w:r w:rsidRPr="007B14D9">
              <w:rPr>
                <w:rFonts w:hint="eastAsia"/>
                <w:szCs w:val="21"/>
              </w:rPr>
              <w:t>）</w:t>
            </w:r>
            <w:r w:rsidRPr="007B14D9">
              <w:rPr>
                <w:rFonts w:hint="eastAsia"/>
                <w:szCs w:val="21"/>
              </w:rPr>
              <w:t>50%</w:t>
            </w:r>
            <w:r w:rsidRPr="007B14D9">
              <w:rPr>
                <w:rFonts w:hint="eastAsia"/>
                <w:szCs w:val="21"/>
              </w:rPr>
              <w:t>﹤股票持仓</w:t>
            </w:r>
            <w:r w:rsidR="00253283">
              <w:rPr>
                <w:rFonts w:hint="eastAsia"/>
                <w:szCs w:val="21"/>
              </w:rPr>
              <w:t>均值</w:t>
            </w:r>
            <w:r w:rsidRPr="007B14D9">
              <w:rPr>
                <w:rFonts w:hint="eastAsia"/>
                <w:szCs w:val="21"/>
              </w:rPr>
              <w:t>≤</w:t>
            </w:r>
            <w:r w:rsidRPr="007B14D9">
              <w:rPr>
                <w:rFonts w:hint="eastAsia"/>
                <w:szCs w:val="21"/>
              </w:rPr>
              <w:t>75%</w:t>
            </w:r>
            <w:r w:rsidRPr="007B14D9">
              <w:rPr>
                <w:rFonts w:hint="eastAsia"/>
                <w:szCs w:val="21"/>
              </w:rPr>
              <w:t>，得分为</w:t>
            </w:r>
            <w:r w:rsidRPr="007B14D9">
              <w:rPr>
                <w:rFonts w:hint="eastAsia"/>
                <w:szCs w:val="21"/>
              </w:rPr>
              <w:t>2</w:t>
            </w:r>
            <w:r w:rsidRPr="007B14D9">
              <w:rPr>
                <w:rFonts w:hint="eastAsia"/>
                <w:szCs w:val="21"/>
              </w:rPr>
              <w:t>分；</w:t>
            </w:r>
            <w:r w:rsidRPr="007B14D9">
              <w:rPr>
                <w:rFonts w:hint="eastAsia"/>
                <w:szCs w:val="21"/>
              </w:rPr>
              <w:t xml:space="preserve"> </w:t>
            </w:r>
          </w:p>
          <w:p w:rsidR="00720366" w:rsidRPr="007B14D9" w:rsidRDefault="00720366" w:rsidP="006F329C">
            <w:pPr>
              <w:rPr>
                <w:szCs w:val="21"/>
              </w:rPr>
            </w:pPr>
            <w:r w:rsidRPr="007B14D9">
              <w:rPr>
                <w:rFonts w:hint="eastAsia"/>
                <w:szCs w:val="21"/>
              </w:rPr>
              <w:t>（</w:t>
            </w:r>
            <w:r w:rsidRPr="007B14D9">
              <w:rPr>
                <w:rFonts w:hint="eastAsia"/>
                <w:szCs w:val="21"/>
              </w:rPr>
              <w:t>3</w:t>
            </w:r>
            <w:r w:rsidRPr="007B14D9">
              <w:rPr>
                <w:rFonts w:hint="eastAsia"/>
                <w:szCs w:val="21"/>
              </w:rPr>
              <w:t>）</w:t>
            </w:r>
            <w:r w:rsidRPr="007B14D9">
              <w:rPr>
                <w:rFonts w:hint="eastAsia"/>
                <w:szCs w:val="21"/>
              </w:rPr>
              <w:t>25%</w:t>
            </w:r>
            <w:r w:rsidRPr="007B14D9">
              <w:rPr>
                <w:rFonts w:hint="eastAsia"/>
                <w:szCs w:val="21"/>
              </w:rPr>
              <w:t>﹤股票持仓</w:t>
            </w:r>
            <w:r w:rsidR="00253283">
              <w:rPr>
                <w:rFonts w:hint="eastAsia"/>
                <w:szCs w:val="21"/>
              </w:rPr>
              <w:t>均值</w:t>
            </w:r>
            <w:r w:rsidRPr="007B14D9">
              <w:rPr>
                <w:rFonts w:hint="eastAsia"/>
                <w:szCs w:val="21"/>
              </w:rPr>
              <w:t>≤</w:t>
            </w:r>
            <w:r w:rsidRPr="007B14D9">
              <w:rPr>
                <w:rFonts w:hint="eastAsia"/>
                <w:szCs w:val="21"/>
              </w:rPr>
              <w:t>50%</w:t>
            </w:r>
            <w:r w:rsidRPr="007B14D9">
              <w:rPr>
                <w:rFonts w:hint="eastAsia"/>
                <w:szCs w:val="21"/>
              </w:rPr>
              <w:t>，得分为</w:t>
            </w:r>
            <w:r w:rsidRPr="007B14D9">
              <w:rPr>
                <w:rFonts w:hint="eastAsia"/>
                <w:szCs w:val="21"/>
              </w:rPr>
              <w:t>1</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rFonts w:hint="eastAsia"/>
                <w:szCs w:val="21"/>
              </w:rPr>
              <w:t>4</w:t>
            </w:r>
            <w:r w:rsidRPr="007B14D9">
              <w:rPr>
                <w:rFonts w:hint="eastAsia"/>
                <w:szCs w:val="21"/>
              </w:rPr>
              <w:t>）股票持仓</w:t>
            </w:r>
            <w:r w:rsidR="00253283">
              <w:rPr>
                <w:rFonts w:hint="eastAsia"/>
                <w:szCs w:val="21"/>
              </w:rPr>
              <w:t>均值</w:t>
            </w:r>
            <w:r w:rsidRPr="007B14D9">
              <w:rPr>
                <w:rFonts w:hint="eastAsia"/>
                <w:szCs w:val="21"/>
              </w:rPr>
              <w:t>≤</w:t>
            </w:r>
            <w:r w:rsidRPr="007B14D9">
              <w:rPr>
                <w:rFonts w:hint="eastAsia"/>
                <w:szCs w:val="21"/>
              </w:rPr>
              <w:t>25%</w:t>
            </w:r>
            <w:r w:rsidRPr="007B14D9">
              <w:rPr>
                <w:rFonts w:hint="eastAsia"/>
                <w:szCs w:val="21"/>
              </w:rPr>
              <w:t>，得分为</w:t>
            </w:r>
            <w:r w:rsidRPr="007B14D9">
              <w:rPr>
                <w:rFonts w:hint="eastAsia"/>
                <w:szCs w:val="21"/>
              </w:rPr>
              <w:t>0</w:t>
            </w:r>
            <w:r w:rsidRPr="007B14D9">
              <w:rPr>
                <w:rFonts w:hint="eastAsia"/>
                <w:szCs w:val="21"/>
              </w:rPr>
              <w:t>分。</w:t>
            </w:r>
          </w:p>
        </w:tc>
        <w:tc>
          <w:tcPr>
            <w:tcW w:w="1080" w:type="dxa"/>
            <w:vAlign w:val="center"/>
          </w:tcPr>
          <w:p w:rsidR="00720366" w:rsidRPr="007B14D9" w:rsidRDefault="00720366" w:rsidP="006F329C">
            <w:pPr>
              <w:ind w:firstLineChars="150" w:firstLine="315"/>
            </w:pPr>
          </w:p>
        </w:tc>
      </w:tr>
      <w:tr w:rsidR="00720366" w:rsidRPr="007B14D9" w:rsidTr="006F329C">
        <w:trPr>
          <w:trHeight w:val="79"/>
        </w:trPr>
        <w:tc>
          <w:tcPr>
            <w:tcW w:w="1080" w:type="dxa"/>
            <w:vAlign w:val="center"/>
          </w:tcPr>
          <w:p w:rsidR="007F62CA" w:rsidRPr="007B14D9" w:rsidRDefault="007F62CA" w:rsidP="006F329C">
            <w:pPr>
              <w:jc w:val="center"/>
            </w:pPr>
          </w:p>
          <w:p w:rsidR="007F62CA" w:rsidRPr="007B14D9" w:rsidRDefault="007F62CA" w:rsidP="006F329C">
            <w:pPr>
              <w:jc w:val="center"/>
            </w:pPr>
          </w:p>
          <w:p w:rsidR="007F62CA" w:rsidRPr="007B14D9" w:rsidRDefault="007F62CA" w:rsidP="006F329C">
            <w:pPr>
              <w:jc w:val="center"/>
            </w:pPr>
          </w:p>
          <w:p w:rsidR="007F62CA" w:rsidRPr="007B14D9" w:rsidRDefault="007F62CA" w:rsidP="006F329C">
            <w:pPr>
              <w:jc w:val="center"/>
            </w:pPr>
          </w:p>
          <w:p w:rsidR="00720366" w:rsidRPr="007B14D9" w:rsidRDefault="007F0A92" w:rsidP="006F329C">
            <w:pPr>
              <w:jc w:val="center"/>
            </w:pPr>
            <w:r w:rsidRPr="007B14D9">
              <w:rPr>
                <w:rFonts w:hint="eastAsia"/>
              </w:rPr>
              <w:lastRenderedPageBreak/>
              <w:t>其他</w:t>
            </w:r>
          </w:p>
          <w:p w:rsidR="00720366" w:rsidRPr="007B14D9" w:rsidRDefault="007F62CA" w:rsidP="006F329C">
            <w:pPr>
              <w:jc w:val="center"/>
            </w:pPr>
            <w:r w:rsidRPr="007B14D9">
              <w:rPr>
                <w:rFonts w:hint="eastAsia"/>
              </w:rPr>
              <w:t>附加</w:t>
            </w:r>
            <w:r w:rsidR="007F0A92" w:rsidRPr="007B14D9">
              <w:rPr>
                <w:rFonts w:hint="eastAsia"/>
              </w:rPr>
              <w:t>项</w:t>
            </w:r>
          </w:p>
        </w:tc>
        <w:tc>
          <w:tcPr>
            <w:tcW w:w="6120" w:type="dxa"/>
            <w:gridSpan w:val="2"/>
            <w:vAlign w:val="center"/>
          </w:tcPr>
          <w:p w:rsidR="0021107F" w:rsidRPr="00BD10F5" w:rsidRDefault="0021107F" w:rsidP="00BD10F5">
            <w:pPr>
              <w:rPr>
                <w:rFonts w:asciiTheme="minorEastAsia" w:eastAsiaTheme="minorEastAsia" w:hAnsiTheme="minorEastAsia"/>
                <w:szCs w:val="21"/>
              </w:rPr>
            </w:pPr>
            <w:r w:rsidRPr="00BD10F5">
              <w:rPr>
                <w:rFonts w:asciiTheme="minorEastAsia" w:eastAsiaTheme="minorEastAsia" w:hAnsiTheme="minorEastAsia" w:hint="eastAsia"/>
                <w:szCs w:val="21"/>
              </w:rPr>
              <w:lastRenderedPageBreak/>
              <w:t>A、发行人等相关主体的信用状况；</w:t>
            </w:r>
          </w:p>
          <w:p w:rsidR="0021107F" w:rsidRPr="00BD10F5" w:rsidRDefault="0021107F" w:rsidP="00BD10F5">
            <w:pPr>
              <w:rPr>
                <w:rFonts w:asciiTheme="minorEastAsia" w:eastAsiaTheme="minorEastAsia" w:hAnsiTheme="minorEastAsia"/>
                <w:szCs w:val="21"/>
              </w:rPr>
            </w:pPr>
            <w:r w:rsidRPr="00BD10F5">
              <w:rPr>
                <w:rFonts w:asciiTheme="minorEastAsia" w:eastAsiaTheme="minorEastAsia" w:hAnsiTheme="minorEastAsia" w:hint="eastAsia"/>
                <w:szCs w:val="21"/>
              </w:rPr>
              <w:t>B、存在本金损失的可能性，因杠杆交易等因素容易导致本金大部分或者全部损失的基金；</w:t>
            </w:r>
          </w:p>
          <w:p w:rsidR="0021107F" w:rsidRPr="000C1F1F" w:rsidRDefault="0021107F" w:rsidP="00BD10F5">
            <w:pPr>
              <w:rPr>
                <w:rFonts w:asciiTheme="minorEastAsia" w:eastAsiaTheme="minorEastAsia" w:hAnsiTheme="minorEastAsia"/>
                <w:szCs w:val="21"/>
              </w:rPr>
            </w:pPr>
            <w:r w:rsidRPr="000C1F1F">
              <w:rPr>
                <w:rFonts w:asciiTheme="minorEastAsia" w:eastAsiaTheme="minorEastAsia" w:hAnsiTheme="minorEastAsia" w:hint="eastAsia"/>
                <w:szCs w:val="21"/>
              </w:rPr>
              <w:t>C、基金变现能力差，因无公开交易市场、参与投资者少等因素导</w:t>
            </w:r>
            <w:r w:rsidRPr="000C1F1F">
              <w:rPr>
                <w:rFonts w:asciiTheme="minorEastAsia" w:eastAsiaTheme="minorEastAsia" w:hAnsiTheme="minorEastAsia" w:hint="eastAsia"/>
                <w:szCs w:val="21"/>
              </w:rPr>
              <w:lastRenderedPageBreak/>
              <w:t>致难以在短期内以合理价格顺利变现的基金；</w:t>
            </w:r>
          </w:p>
          <w:p w:rsidR="0021107F" w:rsidRPr="000C1F1F" w:rsidRDefault="0021107F" w:rsidP="00BD10F5">
            <w:pPr>
              <w:rPr>
                <w:rFonts w:asciiTheme="minorEastAsia" w:eastAsiaTheme="minorEastAsia" w:hAnsiTheme="minorEastAsia"/>
                <w:szCs w:val="21"/>
              </w:rPr>
            </w:pPr>
            <w:r w:rsidRPr="000C1F1F">
              <w:rPr>
                <w:rFonts w:asciiTheme="minorEastAsia" w:eastAsiaTheme="minorEastAsia" w:hAnsiTheme="minorEastAsia" w:hint="eastAsia"/>
                <w:szCs w:val="21"/>
              </w:rPr>
              <w:t>D、标的流动性差及不易估值，因投资标的流动性差，存在非标准资产投资导致不易估值的基金；</w:t>
            </w:r>
          </w:p>
          <w:p w:rsidR="0021107F" w:rsidRPr="000C1F1F" w:rsidRDefault="0021107F" w:rsidP="00BD10F5">
            <w:pPr>
              <w:rPr>
                <w:rFonts w:asciiTheme="minorEastAsia" w:eastAsiaTheme="minorEastAsia" w:hAnsiTheme="minorEastAsia"/>
                <w:szCs w:val="21"/>
              </w:rPr>
            </w:pPr>
            <w:r w:rsidRPr="000C1F1F">
              <w:rPr>
                <w:rFonts w:asciiTheme="minorEastAsia" w:eastAsiaTheme="minorEastAsia" w:hAnsiTheme="minorEastAsia" w:hint="eastAsia"/>
                <w:szCs w:val="21"/>
              </w:rPr>
              <w:t>E、可理解性差，因合同表述复杂，存在免责条款、结构性安排、投资标的具有衍生品性质等，导致普通投资者难以理解的基金；</w:t>
            </w:r>
          </w:p>
          <w:p w:rsidR="0021107F" w:rsidRPr="000C1F1F" w:rsidRDefault="0021107F" w:rsidP="00BD10F5">
            <w:pPr>
              <w:rPr>
                <w:rFonts w:asciiTheme="minorEastAsia" w:eastAsiaTheme="minorEastAsia" w:hAnsiTheme="minorEastAsia"/>
                <w:szCs w:val="21"/>
              </w:rPr>
            </w:pPr>
            <w:r w:rsidRPr="000C1F1F">
              <w:rPr>
                <w:rFonts w:asciiTheme="minorEastAsia" w:eastAsiaTheme="minorEastAsia" w:hAnsiTheme="minorEastAsia" w:hint="eastAsia"/>
                <w:szCs w:val="21"/>
              </w:rPr>
              <w:t>F、杠杆及集中度，因投资杠杆达到相关要求上线、投资单一标的集中度过高的基金；</w:t>
            </w:r>
          </w:p>
          <w:p w:rsidR="0021107F" w:rsidRPr="000C1F1F" w:rsidRDefault="0021107F" w:rsidP="00BD10F5">
            <w:pPr>
              <w:rPr>
                <w:rFonts w:asciiTheme="minorEastAsia" w:eastAsiaTheme="minorEastAsia" w:hAnsiTheme="minorEastAsia"/>
                <w:szCs w:val="21"/>
              </w:rPr>
            </w:pPr>
            <w:r w:rsidRPr="000C1F1F">
              <w:rPr>
                <w:rFonts w:asciiTheme="minorEastAsia" w:eastAsiaTheme="minorEastAsia" w:hAnsiTheme="minorEastAsia" w:hint="eastAsia"/>
                <w:szCs w:val="21"/>
              </w:rPr>
              <w:t>G、跨境因素，存在市场差异、适用境外法律等情形的跨境发行或者交易的基金；</w:t>
            </w:r>
          </w:p>
          <w:p w:rsidR="0021107F" w:rsidRPr="000C1F1F" w:rsidRDefault="0021107F" w:rsidP="00BD10F5">
            <w:pPr>
              <w:rPr>
                <w:rFonts w:asciiTheme="minorEastAsia" w:eastAsiaTheme="minorEastAsia" w:hAnsiTheme="minorEastAsia"/>
                <w:szCs w:val="21"/>
              </w:rPr>
            </w:pPr>
            <w:r w:rsidRPr="000C1F1F">
              <w:rPr>
                <w:rFonts w:asciiTheme="minorEastAsia" w:eastAsiaTheme="minorEastAsia" w:hAnsiTheme="minorEastAsia" w:hint="eastAsia"/>
                <w:szCs w:val="21"/>
              </w:rPr>
              <w:t>H、募集方式，服务规模过大，影响面广，可能触发巨额赎回，易引发群体性事件的基金；</w:t>
            </w:r>
          </w:p>
          <w:p w:rsidR="0021107F" w:rsidRPr="000C1F1F" w:rsidRDefault="0021107F" w:rsidP="00BD10F5">
            <w:pPr>
              <w:rPr>
                <w:rFonts w:asciiTheme="minorEastAsia" w:eastAsiaTheme="minorEastAsia" w:hAnsiTheme="minorEastAsia"/>
                <w:szCs w:val="21"/>
              </w:rPr>
            </w:pPr>
            <w:r w:rsidRPr="000C1F1F">
              <w:rPr>
                <w:rFonts w:asciiTheme="minorEastAsia" w:eastAsiaTheme="minorEastAsia" w:hAnsiTheme="minorEastAsia" w:hint="eastAsia"/>
                <w:szCs w:val="21"/>
              </w:rPr>
              <w:t>I、管理人合规性，因基金管理人、实际控制人、高管人员涉嫌重大违法违规行为或正在接受监管部门或自律管理部门调查的基金；</w:t>
            </w:r>
          </w:p>
          <w:p w:rsidR="0021107F" w:rsidRPr="000C1F1F" w:rsidRDefault="0021107F" w:rsidP="00BD10F5">
            <w:pPr>
              <w:rPr>
                <w:rFonts w:asciiTheme="minorEastAsia" w:eastAsiaTheme="minorEastAsia" w:hAnsiTheme="minorEastAsia"/>
                <w:szCs w:val="21"/>
              </w:rPr>
            </w:pPr>
            <w:r w:rsidRPr="000C1F1F">
              <w:rPr>
                <w:rFonts w:asciiTheme="minorEastAsia" w:eastAsiaTheme="minorEastAsia" w:hAnsiTheme="minorEastAsia" w:hint="eastAsia"/>
                <w:szCs w:val="21"/>
              </w:rPr>
              <w:t>J、重大关联交易，发生重大关联交易事项的基金；</w:t>
            </w:r>
          </w:p>
          <w:p w:rsidR="0021107F" w:rsidRPr="000C1F1F" w:rsidRDefault="0021107F" w:rsidP="00BD10F5">
            <w:pPr>
              <w:rPr>
                <w:rFonts w:asciiTheme="minorEastAsia" w:eastAsiaTheme="minorEastAsia" w:hAnsiTheme="minorEastAsia"/>
                <w:szCs w:val="21"/>
              </w:rPr>
            </w:pPr>
            <w:r w:rsidRPr="000C1F1F">
              <w:rPr>
                <w:rFonts w:asciiTheme="minorEastAsia" w:eastAsiaTheme="minorEastAsia" w:hAnsiTheme="minorEastAsia" w:hint="eastAsia"/>
                <w:szCs w:val="21"/>
              </w:rPr>
              <w:t>K、自律组织认定的高风险基金；</w:t>
            </w:r>
          </w:p>
          <w:p w:rsidR="00A3231D" w:rsidRPr="007B14D9" w:rsidRDefault="0021107F" w:rsidP="00A3231D">
            <w:pPr>
              <w:rPr>
                <w:szCs w:val="21"/>
                <w:u w:val="single"/>
              </w:rPr>
            </w:pPr>
            <w:r w:rsidRPr="000C1F1F">
              <w:rPr>
                <w:rFonts w:asciiTheme="minorEastAsia" w:eastAsiaTheme="minorEastAsia" w:hAnsiTheme="minorEastAsia" w:hint="eastAsia"/>
                <w:szCs w:val="21"/>
              </w:rPr>
              <w:t>L、其他基金的特定安排有可能</w:t>
            </w:r>
            <w:r w:rsidRPr="000C1F1F">
              <w:rPr>
                <w:rFonts w:asciiTheme="minorEastAsia" w:eastAsiaTheme="minorEastAsia" w:hAnsiTheme="minorEastAsia" w:hint="eastAsia"/>
                <w:bCs/>
                <w:szCs w:val="21"/>
                <w:u w:val="single"/>
              </w:rPr>
              <w:t>增加或削弱</w:t>
            </w:r>
            <w:r w:rsidRPr="000C1F1F">
              <w:rPr>
                <w:rFonts w:asciiTheme="minorEastAsia" w:eastAsiaTheme="minorEastAsia" w:hAnsiTheme="minorEastAsia" w:hint="eastAsia"/>
                <w:szCs w:val="21"/>
              </w:rPr>
              <w:t>投资风险的因素。</w:t>
            </w:r>
            <w:r w:rsidR="007E45FA" w:rsidRPr="000C1F1F">
              <w:rPr>
                <w:rFonts w:asciiTheme="minorEastAsia" w:eastAsiaTheme="minorEastAsia" w:hAnsiTheme="minorEastAsia" w:hint="eastAsia"/>
                <w:szCs w:val="21"/>
              </w:rPr>
              <w:t>（如有）</w:t>
            </w:r>
            <w:r w:rsidR="00A3231D" w:rsidRPr="000C1F1F">
              <w:rPr>
                <w:rFonts w:hint="eastAsia"/>
                <w:szCs w:val="21"/>
                <w:u w:val="single"/>
              </w:rPr>
              <w:t xml:space="preserve">                         </w:t>
            </w:r>
            <w:r w:rsidR="00A3231D" w:rsidRPr="007B14D9">
              <w:rPr>
                <w:rFonts w:hint="eastAsia"/>
                <w:szCs w:val="21"/>
                <w:u w:val="single"/>
              </w:rPr>
              <w:t xml:space="preserve">                         </w:t>
            </w:r>
          </w:p>
          <w:p w:rsidR="00A3231D" w:rsidRPr="007B14D9" w:rsidRDefault="00A3231D" w:rsidP="00A3231D">
            <w:pPr>
              <w:rPr>
                <w:szCs w:val="21"/>
                <w:u w:val="single"/>
              </w:rPr>
            </w:pPr>
            <w:r w:rsidRPr="007B14D9">
              <w:rPr>
                <w:rFonts w:hint="eastAsia"/>
                <w:szCs w:val="21"/>
                <w:u w:val="single"/>
              </w:rPr>
              <w:t xml:space="preserve">                                                  </w:t>
            </w:r>
          </w:p>
        </w:tc>
        <w:tc>
          <w:tcPr>
            <w:tcW w:w="1080" w:type="dxa"/>
            <w:vAlign w:val="center"/>
          </w:tcPr>
          <w:p w:rsidR="00720366" w:rsidRPr="007B14D9" w:rsidRDefault="00720366" w:rsidP="006F329C">
            <w:pPr>
              <w:ind w:firstLineChars="150" w:firstLine="315"/>
            </w:pPr>
          </w:p>
        </w:tc>
      </w:tr>
      <w:tr w:rsidR="00720366" w:rsidRPr="007B14D9" w:rsidTr="006F329C">
        <w:trPr>
          <w:trHeight w:val="934"/>
        </w:trPr>
        <w:tc>
          <w:tcPr>
            <w:tcW w:w="1080" w:type="dxa"/>
            <w:vAlign w:val="center"/>
          </w:tcPr>
          <w:p w:rsidR="001171A0" w:rsidRDefault="00720366" w:rsidP="006F329C">
            <w:pPr>
              <w:jc w:val="center"/>
            </w:pPr>
            <w:r w:rsidRPr="007B14D9">
              <w:rPr>
                <w:rFonts w:hint="eastAsia"/>
              </w:rPr>
              <w:t>产品</w:t>
            </w:r>
          </w:p>
          <w:p w:rsidR="00720366" w:rsidRPr="007B14D9" w:rsidRDefault="001171A0" w:rsidP="001171A0">
            <w:pPr>
              <w:jc w:val="center"/>
            </w:pPr>
            <w:r>
              <w:rPr>
                <w:rFonts w:hint="eastAsia"/>
              </w:rPr>
              <w:t>风险等</w:t>
            </w:r>
            <w:r w:rsidR="00720366" w:rsidRPr="007B14D9">
              <w:rPr>
                <w:rFonts w:hint="eastAsia"/>
              </w:rPr>
              <w:t>级</w:t>
            </w:r>
          </w:p>
        </w:tc>
        <w:tc>
          <w:tcPr>
            <w:tcW w:w="3173" w:type="dxa"/>
            <w:vAlign w:val="center"/>
          </w:tcPr>
          <w:p w:rsidR="001171A0" w:rsidRPr="007B14D9" w:rsidRDefault="001171A0" w:rsidP="001171A0">
            <w:pPr>
              <w:ind w:firstLineChars="150" w:firstLine="315"/>
            </w:pPr>
            <w:r>
              <w:rPr>
                <w:rFonts w:hint="eastAsia"/>
              </w:rPr>
              <w:t xml:space="preserve">R   </w:t>
            </w:r>
            <w:r>
              <w:rPr>
                <w:rFonts w:hint="eastAsia"/>
              </w:rPr>
              <w:t>等级</w:t>
            </w:r>
          </w:p>
        </w:tc>
        <w:tc>
          <w:tcPr>
            <w:tcW w:w="2947" w:type="dxa"/>
            <w:vAlign w:val="center"/>
          </w:tcPr>
          <w:p w:rsidR="00720366" w:rsidRPr="007B14D9" w:rsidRDefault="00720366" w:rsidP="006F329C">
            <w:pPr>
              <w:ind w:firstLineChars="150" w:firstLine="315"/>
            </w:pPr>
            <w:r w:rsidRPr="007B14D9">
              <w:rPr>
                <w:rFonts w:hint="eastAsia"/>
              </w:rPr>
              <w:t>最终得分</w:t>
            </w:r>
          </w:p>
        </w:tc>
        <w:tc>
          <w:tcPr>
            <w:tcW w:w="1080" w:type="dxa"/>
            <w:vAlign w:val="center"/>
          </w:tcPr>
          <w:p w:rsidR="00720366" w:rsidRPr="007B14D9" w:rsidRDefault="00720366" w:rsidP="006F329C">
            <w:pPr>
              <w:ind w:firstLineChars="150" w:firstLine="315"/>
            </w:pPr>
          </w:p>
        </w:tc>
      </w:tr>
    </w:tbl>
    <w:p w:rsidR="00720366" w:rsidRPr="007B14D9" w:rsidRDefault="00720366" w:rsidP="00720366">
      <w:pPr>
        <w:spacing w:line="480" w:lineRule="auto"/>
      </w:pPr>
      <w:r w:rsidRPr="007B14D9">
        <w:rPr>
          <w:rFonts w:hint="eastAsia"/>
        </w:rPr>
        <w:t>评价人：</w:t>
      </w:r>
      <w:r w:rsidRPr="007B14D9">
        <w:rPr>
          <w:rFonts w:hint="eastAsia"/>
        </w:rPr>
        <w:t xml:space="preserve">                </w:t>
      </w:r>
      <w:r w:rsidRPr="007B14D9">
        <w:rPr>
          <w:rFonts w:hint="eastAsia"/>
        </w:rPr>
        <w:t>复核人：</w:t>
      </w:r>
      <w:r w:rsidRPr="007B14D9">
        <w:rPr>
          <w:rFonts w:hint="eastAsia"/>
        </w:rPr>
        <w:t xml:space="preserve">                     </w:t>
      </w:r>
      <w:r w:rsidRPr="007B14D9">
        <w:rPr>
          <w:rFonts w:hint="eastAsia"/>
        </w:rPr>
        <w:t>评价时间：</w:t>
      </w:r>
      <w:r w:rsidRPr="007B14D9">
        <w:rPr>
          <w:rFonts w:hint="eastAsia"/>
        </w:rPr>
        <w:t xml:space="preserve">    </w:t>
      </w:r>
      <w:r w:rsidRPr="007B14D9">
        <w:rPr>
          <w:rFonts w:hint="eastAsia"/>
        </w:rPr>
        <w:t>年</w:t>
      </w:r>
      <w:r w:rsidRPr="007B14D9">
        <w:rPr>
          <w:rFonts w:hint="eastAsia"/>
        </w:rPr>
        <w:t xml:space="preserve">   </w:t>
      </w:r>
      <w:r w:rsidRPr="007B14D9">
        <w:rPr>
          <w:rFonts w:hint="eastAsia"/>
        </w:rPr>
        <w:t>月</w:t>
      </w:r>
      <w:r w:rsidRPr="007B14D9">
        <w:rPr>
          <w:rFonts w:hint="eastAsia"/>
        </w:rPr>
        <w:t xml:space="preserve">   </w:t>
      </w:r>
      <w:r w:rsidRPr="007B14D9">
        <w:rPr>
          <w:rFonts w:hint="eastAsia"/>
        </w:rPr>
        <w:t>日</w:t>
      </w:r>
      <w:r w:rsidRPr="007B14D9">
        <w:br w:type="page"/>
      </w:r>
    </w:p>
    <w:p w:rsidR="00720366" w:rsidRPr="007B14D9" w:rsidRDefault="00720366" w:rsidP="00720366">
      <w:pPr>
        <w:spacing w:line="360" w:lineRule="auto"/>
        <w:jc w:val="center"/>
        <w:rPr>
          <w:b/>
          <w:sz w:val="32"/>
          <w:szCs w:val="32"/>
        </w:rPr>
      </w:pPr>
      <w:r w:rsidRPr="007B14D9">
        <w:rPr>
          <w:rFonts w:hint="eastAsia"/>
          <w:b/>
          <w:sz w:val="32"/>
          <w:szCs w:val="32"/>
        </w:rPr>
        <w:lastRenderedPageBreak/>
        <w:t>财通基金专户产品风险评价表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173"/>
        <w:gridCol w:w="2947"/>
        <w:gridCol w:w="1080"/>
      </w:tblGrid>
      <w:tr w:rsidR="00720366" w:rsidRPr="007B14D9" w:rsidTr="006F329C">
        <w:trPr>
          <w:trHeight w:val="465"/>
        </w:trPr>
        <w:tc>
          <w:tcPr>
            <w:tcW w:w="1080" w:type="dxa"/>
            <w:vAlign w:val="center"/>
          </w:tcPr>
          <w:p w:rsidR="00720366" w:rsidRPr="007B14D9" w:rsidRDefault="00720366" w:rsidP="006F329C">
            <w:pPr>
              <w:jc w:val="center"/>
            </w:pPr>
            <w:r w:rsidRPr="007B14D9">
              <w:rPr>
                <w:rFonts w:hint="eastAsia"/>
              </w:rPr>
              <w:t>产品名称</w:t>
            </w:r>
          </w:p>
        </w:tc>
        <w:tc>
          <w:tcPr>
            <w:tcW w:w="7200" w:type="dxa"/>
            <w:gridSpan w:val="3"/>
            <w:vAlign w:val="center"/>
          </w:tcPr>
          <w:p w:rsidR="00720366" w:rsidRPr="007B14D9" w:rsidRDefault="00720366" w:rsidP="006F329C">
            <w:pPr>
              <w:jc w:val="center"/>
            </w:pPr>
          </w:p>
        </w:tc>
      </w:tr>
      <w:tr w:rsidR="00720366" w:rsidRPr="007B14D9" w:rsidTr="006F329C">
        <w:trPr>
          <w:trHeight w:val="304"/>
        </w:trPr>
        <w:tc>
          <w:tcPr>
            <w:tcW w:w="1080" w:type="dxa"/>
            <w:vAlign w:val="center"/>
          </w:tcPr>
          <w:p w:rsidR="00720366" w:rsidRPr="007B14D9" w:rsidRDefault="00720366" w:rsidP="006F329C">
            <w:pPr>
              <w:jc w:val="center"/>
            </w:pPr>
            <w:r w:rsidRPr="007B14D9">
              <w:rPr>
                <w:rFonts w:hint="eastAsia"/>
              </w:rPr>
              <w:t>评价指标</w:t>
            </w:r>
          </w:p>
        </w:tc>
        <w:tc>
          <w:tcPr>
            <w:tcW w:w="6120" w:type="dxa"/>
            <w:gridSpan w:val="2"/>
            <w:vAlign w:val="center"/>
          </w:tcPr>
          <w:p w:rsidR="00720366" w:rsidRPr="007B14D9" w:rsidRDefault="00720366" w:rsidP="006F329C">
            <w:pPr>
              <w:jc w:val="center"/>
            </w:pPr>
            <w:r w:rsidRPr="007B14D9">
              <w:rPr>
                <w:rFonts w:hint="eastAsia"/>
              </w:rPr>
              <w:t>专户产品风险评价内容</w:t>
            </w:r>
          </w:p>
        </w:tc>
        <w:tc>
          <w:tcPr>
            <w:tcW w:w="1080" w:type="dxa"/>
            <w:vAlign w:val="center"/>
          </w:tcPr>
          <w:p w:rsidR="00720366" w:rsidRPr="007B14D9" w:rsidRDefault="00720366" w:rsidP="006F329C">
            <w:pPr>
              <w:jc w:val="center"/>
            </w:pPr>
            <w:r w:rsidRPr="007B14D9">
              <w:rPr>
                <w:rFonts w:hint="eastAsia"/>
              </w:rPr>
              <w:t>评价得分</w:t>
            </w:r>
          </w:p>
        </w:tc>
      </w:tr>
      <w:tr w:rsidR="00720366" w:rsidRPr="007B14D9" w:rsidTr="006F329C">
        <w:trPr>
          <w:trHeight w:val="1260"/>
        </w:trPr>
        <w:tc>
          <w:tcPr>
            <w:tcW w:w="1080" w:type="dxa"/>
            <w:vAlign w:val="center"/>
          </w:tcPr>
          <w:p w:rsidR="00720366" w:rsidRPr="007B14D9" w:rsidRDefault="00720366" w:rsidP="006F329C">
            <w:pPr>
              <w:jc w:val="center"/>
            </w:pPr>
            <w:r w:rsidRPr="007B14D9">
              <w:rPr>
                <w:rFonts w:hint="eastAsia"/>
              </w:rPr>
              <w:t>产品类别</w:t>
            </w:r>
          </w:p>
        </w:tc>
        <w:tc>
          <w:tcPr>
            <w:tcW w:w="6120" w:type="dxa"/>
            <w:gridSpan w:val="2"/>
            <w:vAlign w:val="center"/>
          </w:tcPr>
          <w:p w:rsidR="00C433C2" w:rsidRPr="00C433C2" w:rsidRDefault="00C433C2" w:rsidP="00C433C2">
            <w:pPr>
              <w:rPr>
                <w:szCs w:val="21"/>
              </w:rPr>
            </w:pPr>
            <w:r>
              <w:rPr>
                <w:rFonts w:hint="eastAsia"/>
                <w:szCs w:val="21"/>
              </w:rPr>
              <w:t>（</w:t>
            </w:r>
            <w:r>
              <w:rPr>
                <w:rFonts w:hint="eastAsia"/>
                <w:szCs w:val="21"/>
              </w:rPr>
              <w:t>1</w:t>
            </w:r>
            <w:r>
              <w:rPr>
                <w:rFonts w:hint="eastAsia"/>
                <w:szCs w:val="21"/>
              </w:rPr>
              <w:t>）商品及金融衍生品类，权益类、混合类，</w:t>
            </w:r>
            <w:r w:rsidRPr="00C433C2">
              <w:rPr>
                <w:rFonts w:hint="eastAsia"/>
                <w:szCs w:val="21"/>
              </w:rPr>
              <w:t>得分为</w:t>
            </w:r>
            <w:r w:rsidRPr="00C433C2">
              <w:rPr>
                <w:rFonts w:hint="eastAsia"/>
                <w:szCs w:val="21"/>
              </w:rPr>
              <w:t>30</w:t>
            </w:r>
            <w:r w:rsidRPr="00C433C2">
              <w:rPr>
                <w:rFonts w:hint="eastAsia"/>
                <w:szCs w:val="21"/>
              </w:rPr>
              <w:t>分；</w:t>
            </w:r>
          </w:p>
          <w:p w:rsidR="00C433C2" w:rsidRPr="00C433C2" w:rsidRDefault="00C433C2" w:rsidP="00C433C2">
            <w:pPr>
              <w:rPr>
                <w:szCs w:val="21"/>
              </w:rPr>
            </w:pPr>
            <w:r>
              <w:rPr>
                <w:rFonts w:hint="eastAsia"/>
                <w:szCs w:val="21"/>
              </w:rPr>
              <w:t>（</w:t>
            </w:r>
            <w:r>
              <w:rPr>
                <w:rFonts w:hint="eastAsia"/>
                <w:szCs w:val="21"/>
              </w:rPr>
              <w:t>2</w:t>
            </w:r>
            <w:r>
              <w:rPr>
                <w:rFonts w:hint="eastAsia"/>
                <w:szCs w:val="21"/>
              </w:rPr>
              <w:t>）</w:t>
            </w:r>
            <w:r w:rsidRPr="00C433C2">
              <w:rPr>
                <w:rFonts w:hint="eastAsia"/>
                <w:szCs w:val="21"/>
              </w:rPr>
              <w:t>固定收益类</w:t>
            </w:r>
            <w:r w:rsidRPr="00C433C2">
              <w:rPr>
                <w:rFonts w:hint="eastAsia"/>
                <w:szCs w:val="21"/>
              </w:rPr>
              <w:t>II</w:t>
            </w:r>
            <w:r w:rsidRPr="00C433C2">
              <w:rPr>
                <w:rFonts w:hint="eastAsia"/>
                <w:szCs w:val="21"/>
              </w:rPr>
              <w:t>型，风险评价得分为</w:t>
            </w:r>
            <w:r w:rsidRPr="00C433C2">
              <w:rPr>
                <w:rFonts w:hint="eastAsia"/>
                <w:szCs w:val="21"/>
              </w:rPr>
              <w:t>15</w:t>
            </w:r>
            <w:r w:rsidRPr="00C433C2">
              <w:rPr>
                <w:rFonts w:hint="eastAsia"/>
                <w:szCs w:val="21"/>
              </w:rPr>
              <w:t>分；</w:t>
            </w:r>
          </w:p>
          <w:p w:rsidR="00C433C2" w:rsidRPr="00C433C2" w:rsidRDefault="00C433C2" w:rsidP="00C433C2">
            <w:pPr>
              <w:rPr>
                <w:szCs w:val="21"/>
              </w:rPr>
            </w:pPr>
            <w:r>
              <w:rPr>
                <w:rFonts w:hint="eastAsia"/>
                <w:szCs w:val="21"/>
              </w:rPr>
              <w:t>（</w:t>
            </w:r>
            <w:r>
              <w:rPr>
                <w:rFonts w:hint="eastAsia"/>
                <w:szCs w:val="21"/>
              </w:rPr>
              <w:t>3</w:t>
            </w:r>
            <w:r>
              <w:rPr>
                <w:rFonts w:hint="eastAsia"/>
                <w:szCs w:val="21"/>
              </w:rPr>
              <w:t>）</w:t>
            </w:r>
            <w:r w:rsidRPr="00C433C2">
              <w:rPr>
                <w:rFonts w:hint="eastAsia"/>
                <w:szCs w:val="21"/>
              </w:rPr>
              <w:t>固定收益类</w:t>
            </w:r>
            <w:r w:rsidRPr="00C433C2">
              <w:rPr>
                <w:rFonts w:hint="eastAsia"/>
                <w:szCs w:val="21"/>
              </w:rPr>
              <w:t>I</w:t>
            </w:r>
            <w:r w:rsidRPr="00C433C2">
              <w:rPr>
                <w:rFonts w:hint="eastAsia"/>
                <w:szCs w:val="21"/>
              </w:rPr>
              <w:t>型，风险评价得分为</w:t>
            </w:r>
            <w:r w:rsidRPr="00C433C2">
              <w:rPr>
                <w:rFonts w:hint="eastAsia"/>
                <w:szCs w:val="21"/>
              </w:rPr>
              <w:t>1</w:t>
            </w:r>
            <w:r w:rsidRPr="00C433C2">
              <w:rPr>
                <w:rFonts w:hint="eastAsia"/>
                <w:szCs w:val="21"/>
              </w:rPr>
              <w:t>分。</w:t>
            </w:r>
          </w:p>
          <w:p w:rsidR="00720366" w:rsidRPr="007B14D9" w:rsidRDefault="00C433C2" w:rsidP="006F329C">
            <w:pPr>
              <w:rPr>
                <w:szCs w:val="21"/>
              </w:rPr>
            </w:pPr>
            <w:r w:rsidRPr="00C433C2">
              <w:rPr>
                <w:rFonts w:hint="eastAsia"/>
                <w:szCs w:val="21"/>
              </w:rPr>
              <w:t>FOF</w:t>
            </w:r>
            <w:r w:rsidRPr="00C433C2">
              <w:rPr>
                <w:rFonts w:hint="eastAsia"/>
                <w:szCs w:val="21"/>
              </w:rPr>
              <w:t>产品、</w:t>
            </w:r>
            <w:r w:rsidRPr="00C433C2">
              <w:rPr>
                <w:rFonts w:hint="eastAsia"/>
                <w:szCs w:val="21"/>
              </w:rPr>
              <w:t>QDII</w:t>
            </w:r>
            <w:r w:rsidRPr="00C433C2">
              <w:rPr>
                <w:rFonts w:hint="eastAsia"/>
                <w:szCs w:val="21"/>
              </w:rPr>
              <w:t>产品及新型专户产品</w:t>
            </w:r>
            <w:r>
              <w:rPr>
                <w:rFonts w:hint="eastAsia"/>
                <w:szCs w:val="21"/>
              </w:rPr>
              <w:t>，参照以上类别</w:t>
            </w:r>
            <w:r w:rsidRPr="00C433C2">
              <w:rPr>
                <w:rFonts w:hint="eastAsia"/>
                <w:szCs w:val="21"/>
              </w:rPr>
              <w:t>打分。</w:t>
            </w:r>
          </w:p>
        </w:tc>
        <w:tc>
          <w:tcPr>
            <w:tcW w:w="1080" w:type="dxa"/>
            <w:vAlign w:val="center"/>
          </w:tcPr>
          <w:p w:rsidR="00720366" w:rsidRPr="007B14D9" w:rsidRDefault="00720366" w:rsidP="006F329C">
            <w:pPr>
              <w:jc w:val="center"/>
            </w:pPr>
          </w:p>
        </w:tc>
      </w:tr>
      <w:tr w:rsidR="00720366" w:rsidRPr="007B14D9" w:rsidTr="006F329C">
        <w:trPr>
          <w:trHeight w:val="880"/>
        </w:trPr>
        <w:tc>
          <w:tcPr>
            <w:tcW w:w="1080" w:type="dxa"/>
            <w:vAlign w:val="center"/>
          </w:tcPr>
          <w:p w:rsidR="00720366" w:rsidRPr="007B14D9" w:rsidRDefault="00E45477" w:rsidP="006F329C">
            <w:pPr>
              <w:jc w:val="center"/>
            </w:pPr>
            <w:r w:rsidRPr="007B14D9">
              <w:rPr>
                <w:rFonts w:hint="eastAsia"/>
              </w:rPr>
              <w:t>流动性及</w:t>
            </w:r>
            <w:r w:rsidR="00720366" w:rsidRPr="007B14D9">
              <w:rPr>
                <w:rFonts w:hint="eastAsia"/>
              </w:rPr>
              <w:t>到期期限</w:t>
            </w:r>
          </w:p>
        </w:tc>
        <w:tc>
          <w:tcPr>
            <w:tcW w:w="6120" w:type="dxa"/>
            <w:gridSpan w:val="2"/>
            <w:vAlign w:val="center"/>
          </w:tcPr>
          <w:p w:rsidR="00720366" w:rsidRPr="007B14D9" w:rsidRDefault="00720366" w:rsidP="006F329C">
            <w:pPr>
              <w:rPr>
                <w:szCs w:val="21"/>
              </w:rPr>
            </w:pPr>
            <w:r w:rsidRPr="007B14D9">
              <w:rPr>
                <w:rFonts w:hint="eastAsia"/>
                <w:szCs w:val="21"/>
              </w:rPr>
              <w:t>（</w:t>
            </w:r>
            <w:r w:rsidRPr="007B14D9">
              <w:rPr>
                <w:rFonts w:hint="eastAsia"/>
                <w:szCs w:val="21"/>
              </w:rPr>
              <w:t>1</w:t>
            </w:r>
            <w:r w:rsidRPr="007B14D9">
              <w:rPr>
                <w:rFonts w:hint="eastAsia"/>
                <w:szCs w:val="21"/>
              </w:rPr>
              <w:t>）</w:t>
            </w:r>
            <w:r w:rsidR="00E45477" w:rsidRPr="007B14D9">
              <w:rPr>
                <w:rFonts w:hint="eastAsia"/>
                <w:szCs w:val="21"/>
              </w:rPr>
              <w:t>最短封闭期</w:t>
            </w:r>
            <w:r w:rsidRPr="007B14D9">
              <w:rPr>
                <w:rFonts w:hint="eastAsia"/>
                <w:szCs w:val="21"/>
              </w:rPr>
              <w:t>36</w:t>
            </w:r>
            <w:r w:rsidRPr="007B14D9">
              <w:rPr>
                <w:rFonts w:hint="eastAsia"/>
                <w:szCs w:val="21"/>
              </w:rPr>
              <w:t>个月及以上的，得分为</w:t>
            </w:r>
            <w:r w:rsidRPr="007B14D9">
              <w:rPr>
                <w:rFonts w:hint="eastAsia"/>
                <w:szCs w:val="21"/>
              </w:rPr>
              <w:t>2</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rFonts w:hint="eastAsia"/>
                <w:szCs w:val="21"/>
              </w:rPr>
              <w:t>2</w:t>
            </w:r>
            <w:r w:rsidRPr="007B14D9">
              <w:rPr>
                <w:rFonts w:hint="eastAsia"/>
                <w:szCs w:val="21"/>
              </w:rPr>
              <w:t>）</w:t>
            </w:r>
            <w:r w:rsidR="00E45477" w:rsidRPr="007B14D9">
              <w:rPr>
                <w:rFonts w:hint="eastAsia"/>
                <w:szCs w:val="21"/>
              </w:rPr>
              <w:t>最短封闭期在</w:t>
            </w:r>
            <w:r w:rsidR="00E45477" w:rsidRPr="007B14D9">
              <w:rPr>
                <w:rFonts w:hint="eastAsia"/>
                <w:szCs w:val="21"/>
              </w:rPr>
              <w:t>18</w:t>
            </w:r>
            <w:r w:rsidR="00E45477" w:rsidRPr="007B14D9">
              <w:rPr>
                <w:rFonts w:hint="eastAsia"/>
                <w:szCs w:val="21"/>
              </w:rPr>
              <w:t>至</w:t>
            </w:r>
            <w:r w:rsidR="00E45477" w:rsidRPr="007B14D9">
              <w:rPr>
                <w:rFonts w:hint="eastAsia"/>
                <w:szCs w:val="21"/>
              </w:rPr>
              <w:t>36</w:t>
            </w:r>
            <w:r w:rsidR="00E45477" w:rsidRPr="007B14D9">
              <w:rPr>
                <w:rFonts w:hint="eastAsia"/>
                <w:szCs w:val="21"/>
              </w:rPr>
              <w:t>个月（含）的</w:t>
            </w:r>
            <w:r w:rsidRPr="007B14D9">
              <w:rPr>
                <w:rFonts w:hint="eastAsia"/>
                <w:szCs w:val="21"/>
              </w:rPr>
              <w:t>，得分为</w:t>
            </w:r>
            <w:r w:rsidRPr="007B14D9">
              <w:rPr>
                <w:rFonts w:hint="eastAsia"/>
                <w:szCs w:val="21"/>
              </w:rPr>
              <w:t>1</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rFonts w:hint="eastAsia"/>
                <w:szCs w:val="21"/>
              </w:rPr>
              <w:t>3</w:t>
            </w:r>
            <w:r w:rsidRPr="007B14D9">
              <w:rPr>
                <w:rFonts w:hint="eastAsia"/>
                <w:szCs w:val="21"/>
              </w:rPr>
              <w:t>）</w:t>
            </w:r>
            <w:r w:rsidR="00E45477" w:rsidRPr="007B14D9">
              <w:rPr>
                <w:rFonts w:hint="eastAsia"/>
                <w:szCs w:val="21"/>
              </w:rPr>
              <w:t>最短封闭期在</w:t>
            </w:r>
            <w:r w:rsidR="00E45477" w:rsidRPr="007B14D9">
              <w:rPr>
                <w:rFonts w:hint="eastAsia"/>
                <w:szCs w:val="21"/>
              </w:rPr>
              <w:t>18</w:t>
            </w:r>
            <w:r w:rsidR="00E45477" w:rsidRPr="007B14D9">
              <w:rPr>
                <w:rFonts w:hint="eastAsia"/>
                <w:szCs w:val="21"/>
              </w:rPr>
              <w:t>个月（含）以内的</w:t>
            </w:r>
            <w:r w:rsidRPr="007B14D9">
              <w:rPr>
                <w:rFonts w:hint="eastAsia"/>
                <w:szCs w:val="21"/>
              </w:rPr>
              <w:t>，得分为</w:t>
            </w:r>
            <w:r w:rsidRPr="007B14D9">
              <w:rPr>
                <w:rFonts w:hint="eastAsia"/>
                <w:szCs w:val="21"/>
              </w:rPr>
              <w:t>0</w:t>
            </w:r>
            <w:r w:rsidRPr="007B14D9">
              <w:rPr>
                <w:rFonts w:hint="eastAsia"/>
                <w:szCs w:val="21"/>
              </w:rPr>
              <w:t>分。</w:t>
            </w:r>
          </w:p>
        </w:tc>
        <w:tc>
          <w:tcPr>
            <w:tcW w:w="1080" w:type="dxa"/>
            <w:vAlign w:val="center"/>
          </w:tcPr>
          <w:p w:rsidR="00720366" w:rsidRPr="007B14D9" w:rsidRDefault="00720366" w:rsidP="006F329C">
            <w:pPr>
              <w:jc w:val="center"/>
            </w:pPr>
          </w:p>
        </w:tc>
      </w:tr>
      <w:tr w:rsidR="00E45477" w:rsidRPr="007B14D9" w:rsidTr="00591AD5">
        <w:trPr>
          <w:trHeight w:val="840"/>
        </w:trPr>
        <w:tc>
          <w:tcPr>
            <w:tcW w:w="1080" w:type="dxa"/>
            <w:vAlign w:val="center"/>
          </w:tcPr>
          <w:p w:rsidR="00E45477" w:rsidRPr="007B14D9" w:rsidRDefault="00E45477" w:rsidP="00591AD5">
            <w:pPr>
              <w:jc w:val="center"/>
            </w:pPr>
            <w:r w:rsidRPr="007B14D9">
              <w:rPr>
                <w:rFonts w:hint="eastAsia"/>
              </w:rPr>
              <w:t>结构</w:t>
            </w:r>
          </w:p>
          <w:p w:rsidR="00E45477" w:rsidRPr="007B14D9" w:rsidRDefault="00E45477" w:rsidP="00591AD5">
            <w:pPr>
              <w:jc w:val="center"/>
            </w:pPr>
            <w:r w:rsidRPr="007B14D9">
              <w:rPr>
                <w:rFonts w:hint="eastAsia"/>
              </w:rPr>
              <w:t>复杂性</w:t>
            </w:r>
          </w:p>
        </w:tc>
        <w:tc>
          <w:tcPr>
            <w:tcW w:w="6120" w:type="dxa"/>
            <w:gridSpan w:val="2"/>
            <w:vAlign w:val="center"/>
          </w:tcPr>
          <w:p w:rsidR="00E45477" w:rsidRPr="007B14D9" w:rsidRDefault="00E45477" w:rsidP="00591AD5">
            <w:pPr>
              <w:rPr>
                <w:szCs w:val="21"/>
              </w:rPr>
            </w:pPr>
            <w:r w:rsidRPr="007B14D9">
              <w:rPr>
                <w:rFonts w:hint="eastAsia"/>
                <w:szCs w:val="21"/>
              </w:rPr>
              <w:t>（</w:t>
            </w:r>
            <w:r w:rsidRPr="007B14D9">
              <w:rPr>
                <w:rFonts w:hint="eastAsia"/>
                <w:szCs w:val="21"/>
              </w:rPr>
              <w:t>1</w:t>
            </w:r>
            <w:r w:rsidRPr="007B14D9">
              <w:rPr>
                <w:rFonts w:hint="eastAsia"/>
                <w:szCs w:val="21"/>
              </w:rPr>
              <w:t>）劣后级，得分为</w:t>
            </w:r>
            <w:r w:rsidR="00C433C2">
              <w:rPr>
                <w:rFonts w:hint="eastAsia"/>
                <w:szCs w:val="21"/>
              </w:rPr>
              <w:t>30</w:t>
            </w:r>
            <w:r w:rsidRPr="007B14D9">
              <w:rPr>
                <w:rFonts w:hint="eastAsia"/>
                <w:szCs w:val="21"/>
              </w:rPr>
              <w:t>分；</w:t>
            </w:r>
          </w:p>
          <w:p w:rsidR="00E45477" w:rsidRPr="007B14D9" w:rsidRDefault="00E45477" w:rsidP="00591AD5">
            <w:pPr>
              <w:rPr>
                <w:szCs w:val="21"/>
              </w:rPr>
            </w:pPr>
            <w:r w:rsidRPr="007B14D9">
              <w:rPr>
                <w:rFonts w:hint="eastAsia"/>
                <w:szCs w:val="21"/>
              </w:rPr>
              <w:t>（</w:t>
            </w:r>
            <w:r w:rsidRPr="007B14D9">
              <w:rPr>
                <w:rFonts w:hint="eastAsia"/>
                <w:szCs w:val="21"/>
              </w:rPr>
              <w:t>2</w:t>
            </w:r>
            <w:r w:rsidRPr="007B14D9">
              <w:rPr>
                <w:rFonts w:hint="eastAsia"/>
                <w:szCs w:val="21"/>
              </w:rPr>
              <w:t>）优先级，得分为</w:t>
            </w:r>
            <w:r w:rsidRPr="007B14D9">
              <w:rPr>
                <w:rFonts w:hint="eastAsia"/>
                <w:szCs w:val="21"/>
              </w:rPr>
              <w:t>2</w:t>
            </w:r>
            <w:r w:rsidRPr="007B14D9">
              <w:rPr>
                <w:rFonts w:hint="eastAsia"/>
                <w:szCs w:val="21"/>
              </w:rPr>
              <w:t>分；</w:t>
            </w:r>
            <w:r w:rsidRPr="007B14D9">
              <w:rPr>
                <w:szCs w:val="21"/>
              </w:rPr>
              <w:t xml:space="preserve"> </w:t>
            </w:r>
          </w:p>
          <w:p w:rsidR="00E45477" w:rsidRPr="007B14D9" w:rsidRDefault="00E45477" w:rsidP="00E45477">
            <w:pPr>
              <w:rPr>
                <w:szCs w:val="21"/>
              </w:rPr>
            </w:pPr>
            <w:r w:rsidRPr="007B14D9">
              <w:rPr>
                <w:rFonts w:hint="eastAsia"/>
                <w:szCs w:val="21"/>
              </w:rPr>
              <w:t>（</w:t>
            </w:r>
            <w:r w:rsidRPr="007B14D9">
              <w:rPr>
                <w:rFonts w:hint="eastAsia"/>
                <w:szCs w:val="21"/>
              </w:rPr>
              <w:t>3</w:t>
            </w:r>
            <w:r w:rsidRPr="007B14D9">
              <w:rPr>
                <w:rFonts w:hint="eastAsia"/>
                <w:szCs w:val="21"/>
              </w:rPr>
              <w:t>）平层产品，得分为</w:t>
            </w:r>
            <w:r w:rsidRPr="007B14D9">
              <w:rPr>
                <w:rFonts w:hint="eastAsia"/>
                <w:szCs w:val="21"/>
              </w:rPr>
              <w:t>0</w:t>
            </w:r>
            <w:r w:rsidRPr="007B14D9">
              <w:rPr>
                <w:rFonts w:hint="eastAsia"/>
                <w:szCs w:val="21"/>
              </w:rPr>
              <w:t>分；</w:t>
            </w:r>
          </w:p>
        </w:tc>
        <w:tc>
          <w:tcPr>
            <w:tcW w:w="1080" w:type="dxa"/>
            <w:vAlign w:val="center"/>
          </w:tcPr>
          <w:p w:rsidR="00E45477" w:rsidRPr="007B14D9" w:rsidRDefault="00E45477" w:rsidP="00591AD5">
            <w:pPr>
              <w:jc w:val="center"/>
            </w:pPr>
          </w:p>
        </w:tc>
      </w:tr>
      <w:tr w:rsidR="00720366" w:rsidRPr="007B14D9" w:rsidTr="006F329C">
        <w:trPr>
          <w:trHeight w:val="641"/>
        </w:trPr>
        <w:tc>
          <w:tcPr>
            <w:tcW w:w="1080" w:type="dxa"/>
            <w:vAlign w:val="center"/>
          </w:tcPr>
          <w:p w:rsidR="00720366" w:rsidRPr="007B14D9" w:rsidRDefault="00990282" w:rsidP="006F329C">
            <w:pPr>
              <w:jc w:val="center"/>
            </w:pPr>
            <w:r w:rsidRPr="007B14D9">
              <w:rPr>
                <w:rFonts w:hint="eastAsia"/>
              </w:rPr>
              <w:t>最低投资金额</w:t>
            </w:r>
          </w:p>
        </w:tc>
        <w:tc>
          <w:tcPr>
            <w:tcW w:w="6120" w:type="dxa"/>
            <w:gridSpan w:val="2"/>
            <w:vAlign w:val="center"/>
          </w:tcPr>
          <w:p w:rsidR="00720366" w:rsidRPr="007B14D9" w:rsidRDefault="00720366" w:rsidP="006F329C">
            <w:pPr>
              <w:rPr>
                <w:szCs w:val="21"/>
              </w:rPr>
            </w:pPr>
            <w:r w:rsidRPr="007B14D9">
              <w:rPr>
                <w:rFonts w:hint="eastAsia"/>
                <w:szCs w:val="21"/>
              </w:rPr>
              <w:t>（</w:t>
            </w:r>
            <w:r w:rsidRPr="007B14D9">
              <w:rPr>
                <w:rFonts w:hint="eastAsia"/>
                <w:szCs w:val="21"/>
              </w:rPr>
              <w:t>1</w:t>
            </w:r>
            <w:r w:rsidRPr="007B14D9">
              <w:rPr>
                <w:rFonts w:hint="eastAsia"/>
                <w:szCs w:val="21"/>
              </w:rPr>
              <w:t>）起点</w:t>
            </w:r>
            <w:r w:rsidRPr="007B14D9">
              <w:rPr>
                <w:rFonts w:hint="eastAsia"/>
                <w:szCs w:val="21"/>
              </w:rPr>
              <w:t>300</w:t>
            </w:r>
            <w:r w:rsidRPr="007B14D9">
              <w:rPr>
                <w:rFonts w:hint="eastAsia"/>
                <w:szCs w:val="21"/>
              </w:rPr>
              <w:t>万元及以上的，得分为</w:t>
            </w:r>
            <w:r w:rsidR="00990282" w:rsidRPr="007B14D9">
              <w:rPr>
                <w:rFonts w:hint="eastAsia"/>
                <w:szCs w:val="21"/>
              </w:rPr>
              <w:t>1</w:t>
            </w:r>
            <w:r w:rsidRPr="007B14D9">
              <w:rPr>
                <w:rFonts w:hint="eastAsia"/>
                <w:szCs w:val="21"/>
              </w:rPr>
              <w:t>分；</w:t>
            </w:r>
            <w:r w:rsidRPr="007B14D9">
              <w:rPr>
                <w:rFonts w:hint="eastAsia"/>
                <w:szCs w:val="21"/>
              </w:rPr>
              <w:t xml:space="preserve"> </w:t>
            </w:r>
          </w:p>
          <w:p w:rsidR="00720366" w:rsidRPr="007B14D9" w:rsidRDefault="00720366" w:rsidP="006F329C">
            <w:pPr>
              <w:rPr>
                <w:szCs w:val="21"/>
              </w:rPr>
            </w:pPr>
            <w:r w:rsidRPr="007B14D9">
              <w:rPr>
                <w:rFonts w:hint="eastAsia"/>
                <w:szCs w:val="21"/>
              </w:rPr>
              <w:t>（</w:t>
            </w:r>
            <w:r w:rsidRPr="007B14D9">
              <w:rPr>
                <w:rFonts w:hint="eastAsia"/>
                <w:szCs w:val="21"/>
              </w:rPr>
              <w:t>2</w:t>
            </w:r>
            <w:r w:rsidRPr="007B14D9">
              <w:rPr>
                <w:rFonts w:hint="eastAsia"/>
                <w:szCs w:val="21"/>
              </w:rPr>
              <w:t>）起点</w:t>
            </w:r>
            <w:r w:rsidRPr="007B14D9">
              <w:rPr>
                <w:rFonts w:hint="eastAsia"/>
                <w:szCs w:val="21"/>
              </w:rPr>
              <w:t>300</w:t>
            </w:r>
            <w:r w:rsidRPr="007B14D9">
              <w:rPr>
                <w:rFonts w:hint="eastAsia"/>
                <w:szCs w:val="21"/>
              </w:rPr>
              <w:t>万元以下的，得分为</w:t>
            </w:r>
            <w:r w:rsidRPr="007B14D9">
              <w:rPr>
                <w:rFonts w:hint="eastAsia"/>
                <w:szCs w:val="21"/>
              </w:rPr>
              <w:t>0</w:t>
            </w:r>
            <w:r w:rsidRPr="007B14D9">
              <w:rPr>
                <w:rFonts w:hint="eastAsia"/>
                <w:szCs w:val="21"/>
              </w:rPr>
              <w:t>分。</w:t>
            </w:r>
          </w:p>
        </w:tc>
        <w:tc>
          <w:tcPr>
            <w:tcW w:w="1080" w:type="dxa"/>
            <w:vAlign w:val="center"/>
          </w:tcPr>
          <w:p w:rsidR="00720366" w:rsidRPr="007B14D9" w:rsidRDefault="00720366" w:rsidP="006F329C">
            <w:pPr>
              <w:jc w:val="center"/>
            </w:pPr>
          </w:p>
        </w:tc>
      </w:tr>
      <w:tr w:rsidR="00720366" w:rsidRPr="007B14D9" w:rsidTr="006F329C">
        <w:trPr>
          <w:trHeight w:val="693"/>
        </w:trPr>
        <w:tc>
          <w:tcPr>
            <w:tcW w:w="1080" w:type="dxa"/>
            <w:vAlign w:val="center"/>
          </w:tcPr>
          <w:p w:rsidR="000F47BF" w:rsidRPr="007B14D9" w:rsidRDefault="00720366" w:rsidP="006F329C">
            <w:pPr>
              <w:jc w:val="center"/>
            </w:pPr>
            <w:r w:rsidRPr="007B14D9">
              <w:rPr>
                <w:rFonts w:hint="eastAsia"/>
              </w:rPr>
              <w:t>募集</w:t>
            </w:r>
          </w:p>
          <w:p w:rsidR="00720366" w:rsidRPr="007B14D9" w:rsidRDefault="00720366" w:rsidP="006F329C">
            <w:pPr>
              <w:jc w:val="center"/>
            </w:pPr>
            <w:r w:rsidRPr="007B14D9">
              <w:rPr>
                <w:rFonts w:hint="eastAsia"/>
              </w:rPr>
              <w:t>方式</w:t>
            </w:r>
          </w:p>
        </w:tc>
        <w:tc>
          <w:tcPr>
            <w:tcW w:w="6120" w:type="dxa"/>
            <w:gridSpan w:val="2"/>
            <w:vAlign w:val="center"/>
          </w:tcPr>
          <w:p w:rsidR="00720366" w:rsidRPr="007B14D9" w:rsidRDefault="00720366" w:rsidP="006F329C">
            <w:pPr>
              <w:rPr>
                <w:szCs w:val="21"/>
              </w:rPr>
            </w:pPr>
            <w:r w:rsidRPr="007B14D9">
              <w:rPr>
                <w:rFonts w:hint="eastAsia"/>
                <w:szCs w:val="21"/>
              </w:rPr>
              <w:t>（</w:t>
            </w:r>
            <w:r w:rsidRPr="007B14D9">
              <w:rPr>
                <w:rFonts w:hint="eastAsia"/>
                <w:szCs w:val="21"/>
              </w:rPr>
              <w:t>1</w:t>
            </w:r>
            <w:r w:rsidRPr="007B14D9">
              <w:rPr>
                <w:rFonts w:hint="eastAsia"/>
                <w:szCs w:val="21"/>
              </w:rPr>
              <w:t>）一对</w:t>
            </w:r>
            <w:r w:rsidR="00990282" w:rsidRPr="007B14D9">
              <w:rPr>
                <w:rFonts w:hint="eastAsia"/>
                <w:szCs w:val="21"/>
              </w:rPr>
              <w:t>一</w:t>
            </w:r>
            <w:r w:rsidRPr="007B14D9">
              <w:rPr>
                <w:rFonts w:hint="eastAsia"/>
                <w:szCs w:val="21"/>
              </w:rPr>
              <w:t>产品，得分为</w:t>
            </w:r>
            <w:r w:rsidR="00990282" w:rsidRPr="007B14D9">
              <w:rPr>
                <w:rFonts w:hint="eastAsia"/>
                <w:szCs w:val="21"/>
              </w:rPr>
              <w:t>1</w:t>
            </w:r>
            <w:r w:rsidRPr="007B14D9">
              <w:rPr>
                <w:rFonts w:hint="eastAsia"/>
                <w:szCs w:val="21"/>
              </w:rPr>
              <w:t>分；</w:t>
            </w:r>
            <w:r w:rsidRPr="007B14D9">
              <w:rPr>
                <w:rFonts w:hint="eastAsia"/>
                <w:szCs w:val="21"/>
              </w:rPr>
              <w:t xml:space="preserve"> </w:t>
            </w:r>
          </w:p>
          <w:p w:rsidR="00720366" w:rsidRPr="007B14D9" w:rsidRDefault="00720366" w:rsidP="006F329C">
            <w:pPr>
              <w:rPr>
                <w:szCs w:val="21"/>
              </w:rPr>
            </w:pPr>
            <w:r w:rsidRPr="007B14D9">
              <w:rPr>
                <w:rFonts w:hint="eastAsia"/>
                <w:szCs w:val="21"/>
              </w:rPr>
              <w:t>（</w:t>
            </w:r>
            <w:r w:rsidRPr="007B14D9">
              <w:rPr>
                <w:rFonts w:hint="eastAsia"/>
                <w:szCs w:val="21"/>
              </w:rPr>
              <w:t>2</w:t>
            </w:r>
            <w:r w:rsidRPr="007B14D9">
              <w:rPr>
                <w:rFonts w:hint="eastAsia"/>
                <w:szCs w:val="21"/>
              </w:rPr>
              <w:t>）</w:t>
            </w:r>
            <w:r w:rsidR="00990282" w:rsidRPr="007B14D9">
              <w:rPr>
                <w:rFonts w:hint="eastAsia"/>
                <w:szCs w:val="21"/>
              </w:rPr>
              <w:t>一对多</w:t>
            </w:r>
            <w:r w:rsidRPr="007B14D9">
              <w:rPr>
                <w:rFonts w:hint="eastAsia"/>
                <w:szCs w:val="21"/>
              </w:rPr>
              <w:t>产品，得分为</w:t>
            </w:r>
            <w:r w:rsidRPr="007B14D9">
              <w:rPr>
                <w:rFonts w:hint="eastAsia"/>
                <w:szCs w:val="21"/>
              </w:rPr>
              <w:t>0</w:t>
            </w:r>
            <w:r w:rsidRPr="007B14D9">
              <w:rPr>
                <w:rFonts w:hint="eastAsia"/>
                <w:szCs w:val="21"/>
              </w:rPr>
              <w:t>分。</w:t>
            </w:r>
          </w:p>
        </w:tc>
        <w:tc>
          <w:tcPr>
            <w:tcW w:w="1080" w:type="dxa"/>
            <w:vAlign w:val="center"/>
          </w:tcPr>
          <w:p w:rsidR="00720366" w:rsidRPr="007B14D9" w:rsidRDefault="00720366" w:rsidP="006F329C">
            <w:pPr>
              <w:jc w:val="center"/>
            </w:pPr>
          </w:p>
        </w:tc>
      </w:tr>
      <w:tr w:rsidR="00BD10F5" w:rsidRPr="007B14D9" w:rsidTr="00591AD5">
        <w:trPr>
          <w:trHeight w:val="878"/>
        </w:trPr>
        <w:tc>
          <w:tcPr>
            <w:tcW w:w="1080" w:type="dxa"/>
            <w:vAlign w:val="center"/>
          </w:tcPr>
          <w:p w:rsidR="00BD10F5" w:rsidRPr="000C1F1F" w:rsidRDefault="00BD10F5" w:rsidP="00563DFD">
            <w:pPr>
              <w:rPr>
                <w:highlight w:val="yellow"/>
              </w:rPr>
            </w:pPr>
            <w:r w:rsidRPr="000C1F1F">
              <w:rPr>
                <w:rFonts w:hint="eastAsia"/>
              </w:rPr>
              <w:t>违规行为</w:t>
            </w:r>
          </w:p>
        </w:tc>
        <w:tc>
          <w:tcPr>
            <w:tcW w:w="6120" w:type="dxa"/>
            <w:gridSpan w:val="2"/>
            <w:vAlign w:val="center"/>
          </w:tcPr>
          <w:p w:rsidR="00BD10F5" w:rsidRPr="000C1F1F" w:rsidRDefault="00BD10F5" w:rsidP="00563DFD">
            <w:pPr>
              <w:rPr>
                <w:szCs w:val="21"/>
              </w:rPr>
            </w:pPr>
            <w:r w:rsidRPr="000C1F1F">
              <w:rPr>
                <w:rFonts w:hint="eastAsia"/>
                <w:szCs w:val="21"/>
              </w:rPr>
              <w:t>（</w:t>
            </w:r>
            <w:r w:rsidRPr="000C1F1F">
              <w:rPr>
                <w:rFonts w:hint="eastAsia"/>
                <w:szCs w:val="21"/>
              </w:rPr>
              <w:t>1</w:t>
            </w:r>
            <w:r w:rsidRPr="000C1F1F">
              <w:rPr>
                <w:rFonts w:hint="eastAsia"/>
                <w:szCs w:val="21"/>
              </w:rPr>
              <w:t>）产品成立以来有重大违规行为发生的，得分为</w:t>
            </w:r>
            <w:r w:rsidRPr="000C1F1F">
              <w:rPr>
                <w:rFonts w:hint="eastAsia"/>
                <w:szCs w:val="21"/>
              </w:rPr>
              <w:t>3</w:t>
            </w:r>
            <w:r w:rsidRPr="000C1F1F">
              <w:rPr>
                <w:rFonts w:hint="eastAsia"/>
                <w:szCs w:val="21"/>
              </w:rPr>
              <w:t>分；</w:t>
            </w:r>
          </w:p>
          <w:p w:rsidR="00BD10F5" w:rsidRPr="000C1F1F" w:rsidRDefault="00BD10F5" w:rsidP="00563DFD">
            <w:pPr>
              <w:rPr>
                <w:szCs w:val="21"/>
              </w:rPr>
            </w:pPr>
            <w:r w:rsidRPr="000C1F1F">
              <w:rPr>
                <w:rFonts w:hint="eastAsia"/>
                <w:szCs w:val="21"/>
              </w:rPr>
              <w:t>（</w:t>
            </w:r>
            <w:r w:rsidRPr="000C1F1F">
              <w:rPr>
                <w:rFonts w:hint="eastAsia"/>
                <w:szCs w:val="21"/>
              </w:rPr>
              <w:t>2</w:t>
            </w:r>
            <w:r w:rsidRPr="000C1F1F">
              <w:rPr>
                <w:rFonts w:hint="eastAsia"/>
                <w:szCs w:val="21"/>
              </w:rPr>
              <w:t>）产品成立以来有一般违规行为发生的，得分为</w:t>
            </w:r>
            <w:r w:rsidRPr="000C1F1F">
              <w:rPr>
                <w:rFonts w:hint="eastAsia"/>
                <w:szCs w:val="21"/>
              </w:rPr>
              <w:t>2</w:t>
            </w:r>
            <w:r w:rsidRPr="000C1F1F">
              <w:rPr>
                <w:rFonts w:hint="eastAsia"/>
                <w:szCs w:val="21"/>
              </w:rPr>
              <w:t>分；</w:t>
            </w:r>
          </w:p>
          <w:p w:rsidR="00BD10F5" w:rsidRPr="00BD10F5" w:rsidRDefault="00BD10F5" w:rsidP="00563DFD">
            <w:pPr>
              <w:rPr>
                <w:b/>
                <w:color w:val="FF0000"/>
                <w:szCs w:val="21"/>
                <w:highlight w:val="yellow"/>
              </w:rPr>
            </w:pPr>
            <w:r w:rsidRPr="000C1F1F">
              <w:rPr>
                <w:rFonts w:hint="eastAsia"/>
                <w:szCs w:val="21"/>
              </w:rPr>
              <w:t>（</w:t>
            </w:r>
            <w:r w:rsidRPr="000C1F1F">
              <w:rPr>
                <w:rFonts w:hint="eastAsia"/>
                <w:szCs w:val="21"/>
              </w:rPr>
              <w:t>3</w:t>
            </w:r>
            <w:r w:rsidRPr="000C1F1F">
              <w:rPr>
                <w:rFonts w:hint="eastAsia"/>
                <w:szCs w:val="21"/>
              </w:rPr>
              <w:t>）产品成立以来无违规行为发生的，得分为</w:t>
            </w:r>
            <w:r w:rsidRPr="000C1F1F">
              <w:rPr>
                <w:rFonts w:hint="eastAsia"/>
                <w:szCs w:val="21"/>
              </w:rPr>
              <w:t>0</w:t>
            </w:r>
            <w:r w:rsidRPr="000C1F1F">
              <w:rPr>
                <w:rFonts w:hint="eastAsia"/>
                <w:szCs w:val="21"/>
              </w:rPr>
              <w:t>分。</w:t>
            </w:r>
          </w:p>
        </w:tc>
        <w:tc>
          <w:tcPr>
            <w:tcW w:w="1080" w:type="dxa"/>
            <w:vAlign w:val="center"/>
          </w:tcPr>
          <w:p w:rsidR="00BD10F5" w:rsidRPr="00BD10F5" w:rsidRDefault="00BD10F5" w:rsidP="00563DFD">
            <w:pPr>
              <w:jc w:val="center"/>
              <w:rPr>
                <w:b/>
                <w:color w:val="FF0000"/>
                <w:highlight w:val="yellow"/>
              </w:rPr>
            </w:pPr>
          </w:p>
        </w:tc>
      </w:tr>
      <w:tr w:rsidR="00990282" w:rsidRPr="007B14D9" w:rsidTr="00591AD5">
        <w:trPr>
          <w:trHeight w:val="878"/>
        </w:trPr>
        <w:tc>
          <w:tcPr>
            <w:tcW w:w="1080" w:type="dxa"/>
            <w:vAlign w:val="center"/>
          </w:tcPr>
          <w:p w:rsidR="000F47BF" w:rsidRPr="007B14D9" w:rsidRDefault="00990282" w:rsidP="000F47BF">
            <w:pPr>
              <w:jc w:val="center"/>
            </w:pPr>
            <w:r w:rsidRPr="007B14D9">
              <w:rPr>
                <w:rFonts w:hint="eastAsia"/>
              </w:rPr>
              <w:t>杠杆</w:t>
            </w:r>
          </w:p>
          <w:p w:rsidR="00990282" w:rsidRPr="007B14D9" w:rsidRDefault="00990282" w:rsidP="000F47BF">
            <w:pPr>
              <w:jc w:val="center"/>
            </w:pPr>
            <w:r w:rsidRPr="007B14D9">
              <w:rPr>
                <w:rFonts w:hint="eastAsia"/>
              </w:rPr>
              <w:t>情况</w:t>
            </w:r>
          </w:p>
        </w:tc>
        <w:tc>
          <w:tcPr>
            <w:tcW w:w="6120" w:type="dxa"/>
            <w:gridSpan w:val="2"/>
            <w:vAlign w:val="center"/>
          </w:tcPr>
          <w:p w:rsidR="00990282" w:rsidRPr="007B14D9" w:rsidRDefault="00990282" w:rsidP="00591AD5">
            <w:pPr>
              <w:rPr>
                <w:szCs w:val="21"/>
              </w:rPr>
            </w:pPr>
            <w:r w:rsidRPr="007B14D9">
              <w:rPr>
                <w:rFonts w:hint="eastAsia"/>
                <w:szCs w:val="21"/>
              </w:rPr>
              <w:t>（</w:t>
            </w:r>
            <w:r w:rsidR="0068258E">
              <w:rPr>
                <w:rFonts w:hint="eastAsia"/>
                <w:szCs w:val="21"/>
              </w:rPr>
              <w:t>1</w:t>
            </w:r>
            <w:r w:rsidRPr="007B14D9">
              <w:rPr>
                <w:rFonts w:hint="eastAsia"/>
                <w:szCs w:val="21"/>
              </w:rPr>
              <w:t>）总资产</w:t>
            </w:r>
            <w:r w:rsidRPr="007B14D9">
              <w:rPr>
                <w:rFonts w:hint="eastAsia"/>
                <w:szCs w:val="21"/>
              </w:rPr>
              <w:t>/</w:t>
            </w:r>
            <w:r w:rsidRPr="007B14D9">
              <w:rPr>
                <w:rFonts w:hint="eastAsia"/>
                <w:szCs w:val="21"/>
              </w:rPr>
              <w:t>净资产上限</w:t>
            </w:r>
            <w:r w:rsidRPr="007B14D9">
              <w:rPr>
                <w:rFonts w:hint="eastAsia"/>
                <w:szCs w:val="21"/>
              </w:rPr>
              <w:t>&gt;1</w:t>
            </w:r>
            <w:r w:rsidR="008B5FAD" w:rsidRPr="007B14D9">
              <w:rPr>
                <w:rFonts w:hint="eastAsia"/>
                <w:szCs w:val="21"/>
              </w:rPr>
              <w:t>4</w:t>
            </w:r>
            <w:r w:rsidRPr="007B14D9">
              <w:rPr>
                <w:rFonts w:hint="eastAsia"/>
                <w:szCs w:val="21"/>
              </w:rPr>
              <w:t>0%</w:t>
            </w:r>
            <w:r w:rsidRPr="007B14D9">
              <w:rPr>
                <w:rFonts w:hint="eastAsia"/>
                <w:szCs w:val="21"/>
              </w:rPr>
              <w:t>，得分为</w:t>
            </w:r>
            <w:r w:rsidRPr="007B14D9">
              <w:rPr>
                <w:szCs w:val="21"/>
              </w:rPr>
              <w:t>1</w:t>
            </w:r>
            <w:r w:rsidRPr="007B14D9">
              <w:rPr>
                <w:rFonts w:hint="eastAsia"/>
                <w:szCs w:val="21"/>
              </w:rPr>
              <w:t>分</w:t>
            </w:r>
          </w:p>
          <w:p w:rsidR="00990282" w:rsidRPr="007B14D9" w:rsidRDefault="00990282" w:rsidP="00591AD5">
            <w:pPr>
              <w:rPr>
                <w:szCs w:val="21"/>
              </w:rPr>
            </w:pPr>
            <w:r w:rsidRPr="007B14D9">
              <w:rPr>
                <w:rFonts w:hint="eastAsia"/>
                <w:szCs w:val="21"/>
              </w:rPr>
              <w:t>（</w:t>
            </w:r>
            <w:r w:rsidR="0068258E">
              <w:rPr>
                <w:rFonts w:hint="eastAsia"/>
                <w:szCs w:val="21"/>
              </w:rPr>
              <w:t>2</w:t>
            </w:r>
            <w:r w:rsidRPr="007B14D9">
              <w:rPr>
                <w:rFonts w:hint="eastAsia"/>
                <w:szCs w:val="21"/>
              </w:rPr>
              <w:t>）</w:t>
            </w:r>
            <w:r w:rsidR="008B5FAD" w:rsidRPr="007B14D9">
              <w:rPr>
                <w:rFonts w:hint="eastAsia"/>
                <w:szCs w:val="21"/>
              </w:rPr>
              <w:t>总资产</w:t>
            </w:r>
            <w:r w:rsidR="008B5FAD" w:rsidRPr="007B14D9">
              <w:rPr>
                <w:rFonts w:hint="eastAsia"/>
                <w:szCs w:val="21"/>
              </w:rPr>
              <w:t>/</w:t>
            </w:r>
            <w:r w:rsidR="008B5FAD" w:rsidRPr="007B14D9">
              <w:rPr>
                <w:rFonts w:hint="eastAsia"/>
                <w:szCs w:val="21"/>
              </w:rPr>
              <w:t>净资产上限≤</w:t>
            </w:r>
            <w:r w:rsidR="008B5FAD" w:rsidRPr="007B14D9">
              <w:rPr>
                <w:rFonts w:hint="eastAsia"/>
                <w:szCs w:val="21"/>
              </w:rPr>
              <w:t>140%</w:t>
            </w:r>
            <w:r w:rsidRPr="007B14D9">
              <w:rPr>
                <w:rFonts w:hint="eastAsia"/>
                <w:szCs w:val="21"/>
              </w:rPr>
              <w:t>，得分为</w:t>
            </w:r>
            <w:r w:rsidRPr="007B14D9">
              <w:rPr>
                <w:szCs w:val="21"/>
              </w:rPr>
              <w:t>0</w:t>
            </w:r>
            <w:r w:rsidRPr="007B14D9">
              <w:rPr>
                <w:rFonts w:hint="eastAsia"/>
                <w:szCs w:val="21"/>
              </w:rPr>
              <w:t>分。</w:t>
            </w:r>
          </w:p>
        </w:tc>
        <w:tc>
          <w:tcPr>
            <w:tcW w:w="1080" w:type="dxa"/>
            <w:vAlign w:val="center"/>
          </w:tcPr>
          <w:p w:rsidR="00990282" w:rsidRPr="007B14D9" w:rsidRDefault="00990282" w:rsidP="00591AD5">
            <w:pPr>
              <w:jc w:val="center"/>
            </w:pPr>
          </w:p>
        </w:tc>
      </w:tr>
      <w:tr w:rsidR="00720366" w:rsidRPr="007B14D9" w:rsidTr="006F329C">
        <w:trPr>
          <w:trHeight w:val="946"/>
        </w:trPr>
        <w:tc>
          <w:tcPr>
            <w:tcW w:w="1080" w:type="dxa"/>
            <w:vAlign w:val="center"/>
          </w:tcPr>
          <w:p w:rsidR="00990282" w:rsidRPr="007B14D9" w:rsidRDefault="00990282" w:rsidP="00990282">
            <w:pPr>
              <w:jc w:val="center"/>
            </w:pPr>
            <w:r w:rsidRPr="007B14D9">
              <w:rPr>
                <w:rFonts w:hint="eastAsia"/>
              </w:rPr>
              <w:t>结构化</w:t>
            </w:r>
          </w:p>
          <w:p w:rsidR="00720366" w:rsidRPr="007B14D9" w:rsidRDefault="00990282" w:rsidP="00990282">
            <w:pPr>
              <w:jc w:val="center"/>
            </w:pPr>
            <w:r w:rsidRPr="007B14D9">
              <w:rPr>
                <w:rFonts w:hint="eastAsia"/>
              </w:rPr>
              <w:t>比例</w:t>
            </w:r>
          </w:p>
        </w:tc>
        <w:tc>
          <w:tcPr>
            <w:tcW w:w="6120" w:type="dxa"/>
            <w:gridSpan w:val="2"/>
            <w:vAlign w:val="center"/>
          </w:tcPr>
          <w:p w:rsidR="00720366" w:rsidRPr="007B14D9" w:rsidRDefault="00720366" w:rsidP="006F329C">
            <w:pPr>
              <w:rPr>
                <w:szCs w:val="21"/>
              </w:rPr>
            </w:pPr>
            <w:r w:rsidRPr="007B14D9">
              <w:rPr>
                <w:rFonts w:hint="eastAsia"/>
                <w:szCs w:val="21"/>
              </w:rPr>
              <w:t>（</w:t>
            </w:r>
            <w:r w:rsidRPr="007B14D9">
              <w:rPr>
                <w:rFonts w:hint="eastAsia"/>
                <w:szCs w:val="21"/>
              </w:rPr>
              <w:t>1</w:t>
            </w:r>
            <w:r w:rsidRPr="007B14D9">
              <w:rPr>
                <w:rFonts w:hint="eastAsia"/>
                <w:szCs w:val="21"/>
              </w:rPr>
              <w:t>）</w:t>
            </w:r>
            <w:r w:rsidR="00990282" w:rsidRPr="007B14D9">
              <w:rPr>
                <w:rFonts w:hint="eastAsia"/>
                <w:szCs w:val="21"/>
              </w:rPr>
              <w:t>优先</w:t>
            </w:r>
            <w:r w:rsidR="00990282" w:rsidRPr="007B14D9">
              <w:rPr>
                <w:rFonts w:hint="eastAsia"/>
                <w:szCs w:val="21"/>
              </w:rPr>
              <w:t>/</w:t>
            </w:r>
            <w:r w:rsidR="00990282" w:rsidRPr="007B14D9">
              <w:rPr>
                <w:rFonts w:hint="eastAsia"/>
                <w:szCs w:val="21"/>
              </w:rPr>
              <w:t>劣后杠杆比率</w:t>
            </w:r>
            <w:r w:rsidRPr="007B14D9">
              <w:rPr>
                <w:szCs w:val="21"/>
              </w:rPr>
              <w:t>&gt;1</w:t>
            </w:r>
            <w:r w:rsidRPr="007B14D9">
              <w:rPr>
                <w:rFonts w:hint="eastAsia"/>
                <w:szCs w:val="21"/>
              </w:rPr>
              <w:t>，得分为</w:t>
            </w:r>
            <w:r w:rsidRPr="007B14D9">
              <w:rPr>
                <w:szCs w:val="21"/>
              </w:rPr>
              <w:t>2</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rFonts w:hint="eastAsia"/>
                <w:szCs w:val="21"/>
              </w:rPr>
              <w:t>2</w:t>
            </w:r>
            <w:r w:rsidRPr="007B14D9">
              <w:rPr>
                <w:rFonts w:hint="eastAsia"/>
                <w:szCs w:val="21"/>
              </w:rPr>
              <w:t>）</w:t>
            </w:r>
            <w:r w:rsidRPr="007B14D9">
              <w:rPr>
                <w:szCs w:val="21"/>
              </w:rPr>
              <w:t>0&lt;</w:t>
            </w:r>
            <w:r w:rsidR="00990282" w:rsidRPr="007B14D9">
              <w:rPr>
                <w:rFonts w:hint="eastAsia"/>
                <w:szCs w:val="21"/>
              </w:rPr>
              <w:t>优先</w:t>
            </w:r>
            <w:r w:rsidR="00990282" w:rsidRPr="007B14D9">
              <w:rPr>
                <w:rFonts w:hint="eastAsia"/>
                <w:szCs w:val="21"/>
              </w:rPr>
              <w:t>/</w:t>
            </w:r>
            <w:r w:rsidR="00990282" w:rsidRPr="007B14D9">
              <w:rPr>
                <w:rFonts w:hint="eastAsia"/>
                <w:szCs w:val="21"/>
              </w:rPr>
              <w:t>劣后杠杆比率</w:t>
            </w:r>
            <w:r w:rsidRPr="007B14D9">
              <w:rPr>
                <w:rFonts w:ascii="宋体" w:hAnsi="宋体" w:hint="eastAsia"/>
                <w:szCs w:val="21"/>
              </w:rPr>
              <w:t>≤</w:t>
            </w:r>
            <w:r w:rsidRPr="007B14D9">
              <w:rPr>
                <w:szCs w:val="21"/>
              </w:rPr>
              <w:t>1</w:t>
            </w:r>
            <w:r w:rsidRPr="007B14D9">
              <w:rPr>
                <w:rFonts w:hint="eastAsia"/>
                <w:szCs w:val="21"/>
              </w:rPr>
              <w:t>，得分为</w:t>
            </w:r>
            <w:r w:rsidRPr="007B14D9">
              <w:rPr>
                <w:szCs w:val="21"/>
              </w:rPr>
              <w:t>1</w:t>
            </w:r>
            <w:r w:rsidRPr="007B14D9">
              <w:rPr>
                <w:rFonts w:hint="eastAsia"/>
                <w:szCs w:val="21"/>
              </w:rPr>
              <w:t>分；</w:t>
            </w:r>
          </w:p>
          <w:p w:rsidR="00720366" w:rsidRPr="007B14D9" w:rsidRDefault="00720366" w:rsidP="006F329C">
            <w:pPr>
              <w:rPr>
                <w:szCs w:val="21"/>
              </w:rPr>
            </w:pPr>
            <w:r w:rsidRPr="007B14D9">
              <w:rPr>
                <w:rFonts w:hint="eastAsia"/>
                <w:szCs w:val="21"/>
              </w:rPr>
              <w:t>（</w:t>
            </w:r>
            <w:r w:rsidRPr="007B14D9">
              <w:rPr>
                <w:rFonts w:hint="eastAsia"/>
                <w:szCs w:val="21"/>
              </w:rPr>
              <w:t>3</w:t>
            </w:r>
            <w:r w:rsidRPr="007B14D9">
              <w:rPr>
                <w:rFonts w:hint="eastAsia"/>
                <w:szCs w:val="21"/>
              </w:rPr>
              <w:t>）</w:t>
            </w:r>
            <w:r w:rsidR="00990282" w:rsidRPr="007B14D9">
              <w:rPr>
                <w:rFonts w:hint="eastAsia"/>
                <w:szCs w:val="21"/>
              </w:rPr>
              <w:t>优先</w:t>
            </w:r>
            <w:r w:rsidR="00990282" w:rsidRPr="007B14D9">
              <w:rPr>
                <w:rFonts w:hint="eastAsia"/>
                <w:szCs w:val="21"/>
              </w:rPr>
              <w:t>/</w:t>
            </w:r>
            <w:r w:rsidR="00990282" w:rsidRPr="007B14D9">
              <w:rPr>
                <w:rFonts w:hint="eastAsia"/>
                <w:szCs w:val="21"/>
              </w:rPr>
              <w:t>劣后杠杆比率</w:t>
            </w:r>
            <w:r w:rsidRPr="007B14D9">
              <w:rPr>
                <w:szCs w:val="21"/>
              </w:rPr>
              <w:t>=0</w:t>
            </w:r>
            <w:r w:rsidRPr="007B14D9">
              <w:rPr>
                <w:rFonts w:hint="eastAsia"/>
                <w:szCs w:val="21"/>
              </w:rPr>
              <w:t>，得分为</w:t>
            </w:r>
            <w:r w:rsidRPr="007B14D9">
              <w:rPr>
                <w:szCs w:val="21"/>
              </w:rPr>
              <w:t>0</w:t>
            </w:r>
            <w:r w:rsidRPr="007B14D9">
              <w:rPr>
                <w:rFonts w:hint="eastAsia"/>
                <w:szCs w:val="21"/>
              </w:rPr>
              <w:t>分。</w:t>
            </w:r>
          </w:p>
        </w:tc>
        <w:tc>
          <w:tcPr>
            <w:tcW w:w="1080" w:type="dxa"/>
            <w:vAlign w:val="center"/>
          </w:tcPr>
          <w:p w:rsidR="00720366" w:rsidRPr="007B14D9" w:rsidRDefault="00720366" w:rsidP="006F329C">
            <w:pPr>
              <w:jc w:val="center"/>
            </w:pPr>
          </w:p>
        </w:tc>
      </w:tr>
      <w:tr w:rsidR="00720366" w:rsidRPr="007B14D9" w:rsidTr="006F329C">
        <w:trPr>
          <w:trHeight w:val="1050"/>
        </w:trPr>
        <w:tc>
          <w:tcPr>
            <w:tcW w:w="1080" w:type="dxa"/>
            <w:vAlign w:val="center"/>
          </w:tcPr>
          <w:p w:rsidR="00990282" w:rsidRPr="007B14D9" w:rsidRDefault="00720366" w:rsidP="006F329C">
            <w:pPr>
              <w:jc w:val="center"/>
            </w:pPr>
            <w:r w:rsidRPr="007B14D9">
              <w:rPr>
                <w:rFonts w:hint="eastAsia"/>
              </w:rPr>
              <w:t>过往</w:t>
            </w:r>
          </w:p>
          <w:p w:rsidR="00720366" w:rsidRPr="007B14D9" w:rsidRDefault="00720366" w:rsidP="006F329C">
            <w:pPr>
              <w:jc w:val="center"/>
            </w:pPr>
            <w:r w:rsidRPr="007B14D9">
              <w:rPr>
                <w:rFonts w:hint="eastAsia"/>
              </w:rPr>
              <w:t>业绩</w:t>
            </w:r>
          </w:p>
        </w:tc>
        <w:tc>
          <w:tcPr>
            <w:tcW w:w="6120" w:type="dxa"/>
            <w:gridSpan w:val="2"/>
            <w:vAlign w:val="center"/>
          </w:tcPr>
          <w:p w:rsidR="00720366" w:rsidRPr="007B14D9" w:rsidRDefault="00720366" w:rsidP="006F329C">
            <w:pPr>
              <w:rPr>
                <w:szCs w:val="21"/>
              </w:rPr>
            </w:pPr>
            <w:r w:rsidRPr="007B14D9">
              <w:rPr>
                <w:rFonts w:hint="eastAsia"/>
                <w:szCs w:val="21"/>
              </w:rPr>
              <w:t>（</w:t>
            </w:r>
            <w:r w:rsidRPr="007B14D9">
              <w:rPr>
                <w:rFonts w:hint="eastAsia"/>
                <w:szCs w:val="21"/>
              </w:rPr>
              <w:t>1</w:t>
            </w:r>
            <w:r w:rsidRPr="007B14D9">
              <w:rPr>
                <w:rFonts w:hint="eastAsia"/>
                <w:szCs w:val="21"/>
              </w:rPr>
              <w:t>）</w:t>
            </w:r>
            <w:r w:rsidR="00990282" w:rsidRPr="007B14D9">
              <w:rPr>
                <w:rFonts w:hint="eastAsia"/>
                <w:szCs w:val="21"/>
              </w:rPr>
              <w:t>过去一年净值增长率≤</w:t>
            </w:r>
            <w:r w:rsidR="00990282" w:rsidRPr="007B14D9">
              <w:rPr>
                <w:rFonts w:hint="eastAsia"/>
                <w:szCs w:val="21"/>
              </w:rPr>
              <w:t>-10%</w:t>
            </w:r>
            <w:r w:rsidR="00990282" w:rsidRPr="007B14D9">
              <w:rPr>
                <w:rFonts w:hint="eastAsia"/>
                <w:szCs w:val="21"/>
              </w:rPr>
              <w:t>的</w:t>
            </w:r>
            <w:r w:rsidRPr="007B14D9">
              <w:rPr>
                <w:rFonts w:hint="eastAsia"/>
                <w:szCs w:val="21"/>
              </w:rPr>
              <w:t>，得分为</w:t>
            </w:r>
            <w:r w:rsidRPr="007B14D9">
              <w:rPr>
                <w:rFonts w:hint="eastAsia"/>
                <w:szCs w:val="21"/>
              </w:rPr>
              <w:t>2</w:t>
            </w:r>
            <w:r w:rsidRPr="007B14D9">
              <w:rPr>
                <w:rFonts w:hint="eastAsia"/>
                <w:szCs w:val="21"/>
              </w:rPr>
              <w:t>分；</w:t>
            </w:r>
            <w:r w:rsidRPr="007B14D9">
              <w:rPr>
                <w:rFonts w:hint="eastAsia"/>
                <w:szCs w:val="21"/>
              </w:rPr>
              <w:t xml:space="preserve"> </w:t>
            </w:r>
          </w:p>
          <w:p w:rsidR="00720366" w:rsidRPr="007B14D9" w:rsidRDefault="00720366" w:rsidP="006F329C">
            <w:pPr>
              <w:rPr>
                <w:szCs w:val="21"/>
              </w:rPr>
            </w:pPr>
            <w:r w:rsidRPr="007B14D9">
              <w:rPr>
                <w:rFonts w:hint="eastAsia"/>
                <w:szCs w:val="21"/>
              </w:rPr>
              <w:t>（</w:t>
            </w:r>
            <w:r w:rsidRPr="007B14D9">
              <w:rPr>
                <w:rFonts w:hint="eastAsia"/>
                <w:szCs w:val="21"/>
              </w:rPr>
              <w:t>2</w:t>
            </w:r>
            <w:r w:rsidRPr="007B14D9">
              <w:rPr>
                <w:rFonts w:hint="eastAsia"/>
                <w:szCs w:val="21"/>
              </w:rPr>
              <w:t>）</w:t>
            </w:r>
            <w:r w:rsidR="00990282" w:rsidRPr="007B14D9">
              <w:rPr>
                <w:rFonts w:hint="eastAsia"/>
                <w:szCs w:val="21"/>
              </w:rPr>
              <w:t>-10%</w:t>
            </w:r>
            <w:r w:rsidR="00990282" w:rsidRPr="007B14D9">
              <w:rPr>
                <w:rFonts w:hint="eastAsia"/>
                <w:szCs w:val="21"/>
              </w:rPr>
              <w:t>﹤过去一年净值增长率﹤</w:t>
            </w:r>
            <w:r w:rsidR="00990282" w:rsidRPr="007B14D9">
              <w:rPr>
                <w:rFonts w:hint="eastAsia"/>
                <w:szCs w:val="21"/>
              </w:rPr>
              <w:t>0%</w:t>
            </w:r>
            <w:r w:rsidR="00990282" w:rsidRPr="007B14D9">
              <w:rPr>
                <w:rFonts w:hint="eastAsia"/>
                <w:szCs w:val="21"/>
              </w:rPr>
              <w:t>的</w:t>
            </w:r>
            <w:r w:rsidRPr="007B14D9">
              <w:rPr>
                <w:rFonts w:hint="eastAsia"/>
                <w:szCs w:val="21"/>
              </w:rPr>
              <w:t>，得分为</w:t>
            </w:r>
            <w:r w:rsidRPr="007B14D9">
              <w:rPr>
                <w:rFonts w:hint="eastAsia"/>
                <w:szCs w:val="21"/>
              </w:rPr>
              <w:t>1</w:t>
            </w:r>
            <w:r w:rsidRPr="007B14D9">
              <w:rPr>
                <w:rFonts w:hint="eastAsia"/>
                <w:szCs w:val="21"/>
              </w:rPr>
              <w:t>分；</w:t>
            </w:r>
            <w:r w:rsidRPr="007B14D9">
              <w:rPr>
                <w:rFonts w:hint="eastAsia"/>
                <w:szCs w:val="21"/>
              </w:rPr>
              <w:t xml:space="preserve"> </w:t>
            </w:r>
          </w:p>
          <w:p w:rsidR="00720366" w:rsidRPr="007B14D9" w:rsidRDefault="00720366" w:rsidP="006F329C">
            <w:pPr>
              <w:rPr>
                <w:szCs w:val="21"/>
              </w:rPr>
            </w:pPr>
            <w:r w:rsidRPr="007B14D9">
              <w:rPr>
                <w:rFonts w:hint="eastAsia"/>
                <w:szCs w:val="21"/>
              </w:rPr>
              <w:t>（</w:t>
            </w:r>
            <w:r w:rsidRPr="007B14D9">
              <w:rPr>
                <w:rFonts w:hint="eastAsia"/>
                <w:szCs w:val="21"/>
              </w:rPr>
              <w:t>3</w:t>
            </w:r>
            <w:r w:rsidRPr="007B14D9">
              <w:rPr>
                <w:rFonts w:hint="eastAsia"/>
                <w:szCs w:val="21"/>
              </w:rPr>
              <w:t>）</w:t>
            </w:r>
            <w:r w:rsidR="00990282" w:rsidRPr="007B14D9">
              <w:rPr>
                <w:rFonts w:hint="eastAsia"/>
                <w:szCs w:val="21"/>
              </w:rPr>
              <w:t>过去一年净值增长率≥</w:t>
            </w:r>
            <w:r w:rsidR="00990282" w:rsidRPr="007B14D9">
              <w:rPr>
                <w:rFonts w:hint="eastAsia"/>
                <w:szCs w:val="21"/>
              </w:rPr>
              <w:t>0%</w:t>
            </w:r>
            <w:r w:rsidR="00990282" w:rsidRPr="007B14D9">
              <w:rPr>
                <w:rFonts w:hint="eastAsia"/>
                <w:szCs w:val="21"/>
              </w:rPr>
              <w:t>的</w:t>
            </w:r>
            <w:r w:rsidRPr="007B14D9">
              <w:rPr>
                <w:rFonts w:hint="eastAsia"/>
                <w:szCs w:val="21"/>
              </w:rPr>
              <w:t>，得分为</w:t>
            </w:r>
            <w:r w:rsidRPr="007B14D9">
              <w:rPr>
                <w:rFonts w:hint="eastAsia"/>
                <w:szCs w:val="21"/>
              </w:rPr>
              <w:t>0</w:t>
            </w:r>
            <w:r w:rsidRPr="007B14D9">
              <w:rPr>
                <w:rFonts w:hint="eastAsia"/>
                <w:szCs w:val="21"/>
              </w:rPr>
              <w:t>分。</w:t>
            </w:r>
          </w:p>
        </w:tc>
        <w:tc>
          <w:tcPr>
            <w:tcW w:w="1080" w:type="dxa"/>
            <w:vAlign w:val="center"/>
          </w:tcPr>
          <w:p w:rsidR="00720366" w:rsidRPr="007B14D9" w:rsidRDefault="00720366" w:rsidP="006F329C">
            <w:pPr>
              <w:jc w:val="center"/>
            </w:pPr>
          </w:p>
        </w:tc>
      </w:tr>
      <w:tr w:rsidR="00720366" w:rsidRPr="007B14D9" w:rsidTr="006F329C">
        <w:trPr>
          <w:trHeight w:val="699"/>
        </w:trPr>
        <w:tc>
          <w:tcPr>
            <w:tcW w:w="1080" w:type="dxa"/>
            <w:vAlign w:val="center"/>
          </w:tcPr>
          <w:p w:rsidR="00720366" w:rsidRPr="007B14D9" w:rsidRDefault="007F0A92" w:rsidP="006F329C">
            <w:pPr>
              <w:jc w:val="center"/>
            </w:pPr>
            <w:r w:rsidRPr="007B14D9">
              <w:rPr>
                <w:rFonts w:hint="eastAsia"/>
              </w:rPr>
              <w:t>其他</w:t>
            </w:r>
          </w:p>
          <w:p w:rsidR="00720366" w:rsidRPr="007B14D9" w:rsidRDefault="007F0A92" w:rsidP="007F0A92">
            <w:pPr>
              <w:jc w:val="center"/>
            </w:pPr>
            <w:r w:rsidRPr="007B14D9">
              <w:rPr>
                <w:rFonts w:hint="eastAsia"/>
              </w:rPr>
              <w:t>附加项</w:t>
            </w:r>
          </w:p>
        </w:tc>
        <w:tc>
          <w:tcPr>
            <w:tcW w:w="6120" w:type="dxa"/>
            <w:gridSpan w:val="2"/>
            <w:vAlign w:val="center"/>
          </w:tcPr>
          <w:p w:rsidR="00BD10F5" w:rsidRPr="000C1F1F" w:rsidRDefault="00BD10F5" w:rsidP="00BD10F5">
            <w:pPr>
              <w:jc w:val="left"/>
              <w:rPr>
                <w:rFonts w:ascii="宋体" w:hAnsi="宋体"/>
              </w:rPr>
            </w:pPr>
            <w:r w:rsidRPr="000C1F1F">
              <w:rPr>
                <w:rFonts w:ascii="宋体" w:hAnsi="宋体" w:hint="eastAsia"/>
              </w:rPr>
              <w:t>A、发行人等相关主体的信用状况；</w:t>
            </w:r>
          </w:p>
          <w:p w:rsidR="00BD10F5" w:rsidRPr="000C1F1F" w:rsidRDefault="00BD10F5" w:rsidP="00BD10F5">
            <w:pPr>
              <w:ind w:leftChars="-14" w:left="-29"/>
              <w:jc w:val="left"/>
              <w:rPr>
                <w:rFonts w:ascii="宋体" w:hAnsi="宋体"/>
              </w:rPr>
            </w:pPr>
            <w:r w:rsidRPr="000C1F1F">
              <w:rPr>
                <w:rFonts w:ascii="宋体" w:hAnsi="宋体" w:hint="eastAsia"/>
              </w:rPr>
              <w:t>B、存在本金损失的可能性，因杠杆交易等因素容易导致本金大部分或者全部损失的产品；</w:t>
            </w:r>
          </w:p>
          <w:p w:rsidR="00BD10F5" w:rsidRPr="000C1F1F" w:rsidRDefault="00BD10F5" w:rsidP="00BD10F5">
            <w:pPr>
              <w:ind w:leftChars="-14" w:left="-29"/>
              <w:jc w:val="left"/>
              <w:rPr>
                <w:rFonts w:ascii="宋体" w:hAnsi="宋体"/>
              </w:rPr>
            </w:pPr>
            <w:r w:rsidRPr="000C1F1F">
              <w:rPr>
                <w:rFonts w:ascii="宋体" w:hAnsi="宋体" w:hint="eastAsia"/>
              </w:rPr>
              <w:t>C、产品变现能力差，因无公开交易市场、参与投资者少等因素导致难以在短期内以合理价格顺利变现的产品；</w:t>
            </w:r>
          </w:p>
          <w:p w:rsidR="00BD10F5" w:rsidRPr="000C1F1F" w:rsidRDefault="00BD10F5" w:rsidP="00BD10F5">
            <w:pPr>
              <w:ind w:leftChars="-14" w:left="-29"/>
              <w:jc w:val="left"/>
              <w:rPr>
                <w:rFonts w:ascii="宋体" w:hAnsi="宋体"/>
              </w:rPr>
            </w:pPr>
            <w:r w:rsidRPr="000C1F1F">
              <w:rPr>
                <w:rFonts w:ascii="宋体" w:hAnsi="宋体" w:hint="eastAsia"/>
              </w:rPr>
              <w:t>D、标的流动性差及不易估值，因投资标的流动性差，存在非标准资产投资导致不易估值的产品；</w:t>
            </w:r>
          </w:p>
          <w:p w:rsidR="00BD10F5" w:rsidRPr="000C1F1F" w:rsidRDefault="00BD10F5" w:rsidP="00BD10F5">
            <w:pPr>
              <w:ind w:leftChars="-14" w:left="-29"/>
              <w:jc w:val="left"/>
              <w:rPr>
                <w:rFonts w:ascii="宋体" w:hAnsi="宋体"/>
              </w:rPr>
            </w:pPr>
            <w:r w:rsidRPr="000C1F1F">
              <w:rPr>
                <w:rFonts w:ascii="宋体" w:hAnsi="宋体" w:hint="eastAsia"/>
              </w:rPr>
              <w:t>E、可理解性差，因合同表述复杂，存在免责条款、结构性安排、投资标的具有衍生品性质等，导致普通投资者难以理解的产品；</w:t>
            </w:r>
          </w:p>
          <w:p w:rsidR="00BD10F5" w:rsidRPr="000C1F1F" w:rsidRDefault="00BD10F5" w:rsidP="00BD10F5">
            <w:pPr>
              <w:ind w:leftChars="-14" w:left="-29"/>
              <w:jc w:val="left"/>
              <w:rPr>
                <w:rFonts w:ascii="宋体" w:hAnsi="宋体"/>
              </w:rPr>
            </w:pPr>
            <w:r w:rsidRPr="000C1F1F">
              <w:rPr>
                <w:rFonts w:ascii="宋体" w:hAnsi="宋体" w:hint="eastAsia"/>
              </w:rPr>
              <w:t>F、杠杆及集中度，因投资杠杆达到相关要求上线、投资单一标的集中度过高的产品；</w:t>
            </w:r>
          </w:p>
          <w:p w:rsidR="00BD10F5" w:rsidRPr="000C1F1F" w:rsidRDefault="00BD10F5" w:rsidP="00BD10F5">
            <w:pPr>
              <w:ind w:leftChars="-14" w:left="-29"/>
              <w:jc w:val="left"/>
              <w:rPr>
                <w:rFonts w:ascii="宋体" w:hAnsi="宋体"/>
              </w:rPr>
            </w:pPr>
            <w:r w:rsidRPr="000C1F1F">
              <w:rPr>
                <w:rFonts w:ascii="宋体" w:hAnsi="宋体" w:hint="eastAsia"/>
              </w:rPr>
              <w:t>G、跨境因素，存在市场差异、适用境外法律等情形的跨境发行或者交易的产品；</w:t>
            </w:r>
          </w:p>
          <w:p w:rsidR="00BD10F5" w:rsidRPr="000C1F1F" w:rsidRDefault="00BD10F5" w:rsidP="00BD10F5">
            <w:pPr>
              <w:ind w:leftChars="-14" w:left="-29"/>
              <w:jc w:val="left"/>
              <w:rPr>
                <w:rFonts w:ascii="宋体" w:hAnsi="宋体"/>
              </w:rPr>
            </w:pPr>
            <w:r w:rsidRPr="000C1F1F">
              <w:rPr>
                <w:rFonts w:ascii="宋体" w:hAnsi="宋体" w:hint="eastAsia"/>
              </w:rPr>
              <w:lastRenderedPageBreak/>
              <w:t>H、募集方式，服务规模过大，影响面广，可能触发巨额赎回，易引发群体性事件的产品；</w:t>
            </w:r>
          </w:p>
          <w:p w:rsidR="00BD10F5" w:rsidRPr="000C1F1F" w:rsidRDefault="00BD10F5" w:rsidP="00BD10F5">
            <w:pPr>
              <w:ind w:leftChars="-14" w:left="-29"/>
              <w:jc w:val="left"/>
              <w:rPr>
                <w:rFonts w:ascii="宋体" w:hAnsi="宋体"/>
              </w:rPr>
            </w:pPr>
            <w:r w:rsidRPr="000C1F1F">
              <w:rPr>
                <w:rFonts w:ascii="宋体" w:hAnsi="宋体" w:hint="eastAsia"/>
              </w:rPr>
              <w:t>I、管理人合规性，因基金管理人、实际控制人、高管人员涉嫌重大违法违规行为或正在接受监管部门或自律管理部门调查的产品；</w:t>
            </w:r>
          </w:p>
          <w:p w:rsidR="00BD10F5" w:rsidRPr="000C1F1F" w:rsidRDefault="00BD10F5" w:rsidP="00BD10F5">
            <w:pPr>
              <w:jc w:val="left"/>
              <w:rPr>
                <w:rFonts w:ascii="宋体" w:hAnsi="宋体"/>
              </w:rPr>
            </w:pPr>
            <w:r w:rsidRPr="000C1F1F">
              <w:rPr>
                <w:rFonts w:ascii="宋体" w:hAnsi="宋体" w:hint="eastAsia"/>
              </w:rPr>
              <w:t>J、重大关联交易，发生重大关联交易事项的产品；</w:t>
            </w:r>
          </w:p>
          <w:p w:rsidR="00BD10F5" w:rsidRPr="000C1F1F" w:rsidRDefault="00BD10F5" w:rsidP="00BD10F5">
            <w:pPr>
              <w:jc w:val="left"/>
              <w:rPr>
                <w:rFonts w:ascii="宋体" w:hAnsi="宋体"/>
              </w:rPr>
            </w:pPr>
            <w:r w:rsidRPr="000C1F1F">
              <w:rPr>
                <w:rFonts w:ascii="宋体" w:hAnsi="宋体" w:hint="eastAsia"/>
              </w:rPr>
              <w:t>K、自律组织认定的高风险产品；</w:t>
            </w:r>
          </w:p>
          <w:p w:rsidR="00990282" w:rsidRPr="00BD10F5" w:rsidRDefault="00BD10F5" w:rsidP="00BD10F5">
            <w:pPr>
              <w:jc w:val="left"/>
              <w:rPr>
                <w:rFonts w:ascii="宋体" w:hAnsi="宋体"/>
                <w:szCs w:val="21"/>
                <w:u w:val="single"/>
              </w:rPr>
            </w:pPr>
            <w:r w:rsidRPr="000C1F1F">
              <w:rPr>
                <w:rFonts w:ascii="宋体" w:hAnsi="宋体" w:hint="eastAsia"/>
              </w:rPr>
              <w:t>L、其他产品的特定安排有可能</w:t>
            </w:r>
            <w:r w:rsidRPr="000C1F1F">
              <w:rPr>
                <w:rFonts w:ascii="宋体" w:hAnsi="宋体" w:hint="eastAsia"/>
                <w:bCs/>
                <w:u w:val="single"/>
              </w:rPr>
              <w:t>增加或削弱</w:t>
            </w:r>
            <w:r w:rsidRPr="000C1F1F">
              <w:rPr>
                <w:rFonts w:ascii="宋体" w:hAnsi="宋体" w:hint="eastAsia"/>
              </w:rPr>
              <w:t>投资风险的因素。</w:t>
            </w:r>
            <w:r w:rsidR="00990282" w:rsidRPr="000C1F1F">
              <w:rPr>
                <w:rFonts w:ascii="宋体" w:hAnsi="宋体" w:hint="eastAsia"/>
                <w:szCs w:val="21"/>
              </w:rPr>
              <w:t>（如有）</w:t>
            </w:r>
            <w:r w:rsidR="00990282" w:rsidRPr="00BD10F5">
              <w:rPr>
                <w:rFonts w:ascii="宋体" w:hAnsi="宋体" w:hint="eastAsia"/>
                <w:szCs w:val="21"/>
                <w:u w:val="single"/>
              </w:rPr>
              <w:t xml:space="preserve">                                                  </w:t>
            </w:r>
          </w:p>
          <w:p w:rsidR="00720366" w:rsidRPr="00BD10F5" w:rsidRDefault="00990282" w:rsidP="00990282">
            <w:pPr>
              <w:rPr>
                <w:rFonts w:ascii="宋体" w:hAnsi="宋体"/>
                <w:szCs w:val="21"/>
              </w:rPr>
            </w:pPr>
            <w:r w:rsidRPr="00BD10F5">
              <w:rPr>
                <w:rFonts w:ascii="宋体" w:hAnsi="宋体" w:hint="eastAsia"/>
                <w:szCs w:val="21"/>
                <w:u w:val="single"/>
              </w:rPr>
              <w:t xml:space="preserve">                                                  </w:t>
            </w:r>
          </w:p>
        </w:tc>
        <w:tc>
          <w:tcPr>
            <w:tcW w:w="1080" w:type="dxa"/>
            <w:vAlign w:val="center"/>
          </w:tcPr>
          <w:p w:rsidR="00720366" w:rsidRPr="007B14D9" w:rsidRDefault="00720366" w:rsidP="006F329C">
            <w:pPr>
              <w:ind w:firstLineChars="150" w:firstLine="315"/>
            </w:pPr>
          </w:p>
        </w:tc>
      </w:tr>
      <w:tr w:rsidR="00720366" w:rsidRPr="007B14D9" w:rsidTr="006F329C">
        <w:trPr>
          <w:trHeight w:val="516"/>
        </w:trPr>
        <w:tc>
          <w:tcPr>
            <w:tcW w:w="1080" w:type="dxa"/>
            <w:vAlign w:val="center"/>
          </w:tcPr>
          <w:p w:rsidR="00720366" w:rsidRPr="007B14D9" w:rsidRDefault="00720366" w:rsidP="00733478">
            <w:pPr>
              <w:jc w:val="center"/>
            </w:pPr>
            <w:r w:rsidRPr="007B14D9">
              <w:rPr>
                <w:rFonts w:hint="eastAsia"/>
              </w:rPr>
              <w:t>产品</w:t>
            </w:r>
            <w:r w:rsidR="00733478">
              <w:rPr>
                <w:rFonts w:hint="eastAsia"/>
              </w:rPr>
              <w:t>风险等</w:t>
            </w:r>
            <w:r w:rsidRPr="007B14D9">
              <w:rPr>
                <w:rFonts w:hint="eastAsia"/>
              </w:rPr>
              <w:t>级</w:t>
            </w:r>
          </w:p>
        </w:tc>
        <w:tc>
          <w:tcPr>
            <w:tcW w:w="3173" w:type="dxa"/>
            <w:vAlign w:val="center"/>
          </w:tcPr>
          <w:p w:rsidR="00720366" w:rsidRPr="007B14D9" w:rsidRDefault="00733478" w:rsidP="006F329C">
            <w:pPr>
              <w:ind w:firstLineChars="150" w:firstLine="315"/>
            </w:pPr>
            <w:r>
              <w:rPr>
                <w:rFonts w:hint="eastAsia"/>
              </w:rPr>
              <w:t xml:space="preserve">R   </w:t>
            </w:r>
            <w:r>
              <w:rPr>
                <w:rFonts w:hint="eastAsia"/>
              </w:rPr>
              <w:t>等级</w:t>
            </w:r>
          </w:p>
        </w:tc>
        <w:tc>
          <w:tcPr>
            <w:tcW w:w="2947" w:type="dxa"/>
            <w:vAlign w:val="center"/>
          </w:tcPr>
          <w:p w:rsidR="00720366" w:rsidRPr="007B14D9" w:rsidRDefault="00720366" w:rsidP="006F329C">
            <w:pPr>
              <w:ind w:firstLineChars="150" w:firstLine="315"/>
            </w:pPr>
            <w:r w:rsidRPr="007B14D9">
              <w:rPr>
                <w:rFonts w:hint="eastAsia"/>
              </w:rPr>
              <w:t>最终得分</w:t>
            </w:r>
          </w:p>
        </w:tc>
        <w:tc>
          <w:tcPr>
            <w:tcW w:w="1080" w:type="dxa"/>
            <w:vAlign w:val="center"/>
          </w:tcPr>
          <w:p w:rsidR="00720366" w:rsidRPr="007B14D9" w:rsidRDefault="00720366" w:rsidP="006F329C">
            <w:pPr>
              <w:ind w:firstLineChars="150" w:firstLine="315"/>
            </w:pPr>
          </w:p>
        </w:tc>
      </w:tr>
    </w:tbl>
    <w:p w:rsidR="00720366" w:rsidRPr="007B14D9" w:rsidRDefault="00720366" w:rsidP="00720366">
      <w:pPr>
        <w:spacing w:line="480" w:lineRule="auto"/>
        <w:rPr>
          <w:sz w:val="24"/>
        </w:rPr>
      </w:pPr>
      <w:r w:rsidRPr="007B14D9">
        <w:rPr>
          <w:rFonts w:hint="eastAsia"/>
        </w:rPr>
        <w:t>评价人：</w:t>
      </w:r>
      <w:r w:rsidRPr="007B14D9">
        <w:rPr>
          <w:rFonts w:hint="eastAsia"/>
        </w:rPr>
        <w:t xml:space="preserve">                </w:t>
      </w:r>
      <w:r w:rsidRPr="007B14D9">
        <w:rPr>
          <w:rFonts w:hint="eastAsia"/>
        </w:rPr>
        <w:t>复核人：</w:t>
      </w:r>
      <w:r w:rsidRPr="007B14D9">
        <w:rPr>
          <w:rFonts w:hint="eastAsia"/>
        </w:rPr>
        <w:t xml:space="preserve">                     </w:t>
      </w:r>
      <w:r w:rsidRPr="007B14D9">
        <w:rPr>
          <w:rFonts w:hint="eastAsia"/>
        </w:rPr>
        <w:t>评价时间：</w:t>
      </w:r>
      <w:r w:rsidRPr="007B14D9">
        <w:rPr>
          <w:rFonts w:hint="eastAsia"/>
        </w:rPr>
        <w:t xml:space="preserve">    </w:t>
      </w:r>
      <w:r w:rsidRPr="007B14D9">
        <w:rPr>
          <w:rFonts w:hint="eastAsia"/>
        </w:rPr>
        <w:t>年</w:t>
      </w:r>
      <w:r w:rsidRPr="007B14D9">
        <w:rPr>
          <w:rFonts w:hint="eastAsia"/>
        </w:rPr>
        <w:t xml:space="preserve">   </w:t>
      </w:r>
      <w:r w:rsidRPr="007B14D9">
        <w:rPr>
          <w:rFonts w:hint="eastAsia"/>
        </w:rPr>
        <w:t>月</w:t>
      </w:r>
      <w:r w:rsidRPr="007B14D9">
        <w:rPr>
          <w:rFonts w:hint="eastAsia"/>
        </w:rPr>
        <w:t xml:space="preserve">   </w:t>
      </w:r>
      <w:r w:rsidRPr="007B14D9">
        <w:rPr>
          <w:rFonts w:hint="eastAsia"/>
        </w:rPr>
        <w:t>日</w:t>
      </w:r>
    </w:p>
    <w:p w:rsidR="00724C2F" w:rsidRPr="007B14D9" w:rsidRDefault="00724C2F"/>
    <w:p w:rsidR="00AE4919" w:rsidRPr="007B14D9" w:rsidRDefault="00AE4919"/>
    <w:p w:rsidR="00AE4919" w:rsidRPr="007B14D9" w:rsidRDefault="00AE4919"/>
    <w:p w:rsidR="00AE4919" w:rsidRPr="007B14D9" w:rsidRDefault="00AE4919">
      <w:pPr>
        <w:widowControl/>
        <w:jc w:val="left"/>
        <w:rPr>
          <w:b/>
          <w:sz w:val="24"/>
        </w:rPr>
      </w:pPr>
    </w:p>
    <w:p w:rsidR="00AE4919" w:rsidRPr="007B14D9" w:rsidRDefault="00AE4919" w:rsidP="00AE4919">
      <w:pPr>
        <w:widowControl/>
        <w:jc w:val="left"/>
        <w:rPr>
          <w:b/>
          <w:sz w:val="32"/>
          <w:szCs w:val="32"/>
        </w:rPr>
      </w:pPr>
    </w:p>
    <w:sectPr w:rsidR="00AE4919" w:rsidRPr="007B14D9" w:rsidSect="006F329C">
      <w:headerReference w:type="default" r:id="rId8"/>
      <w:footerReference w:type="even" r:id="rId9"/>
      <w:footerReference w:type="default" r:id="rId10"/>
      <w:head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EC9" w:rsidRDefault="001C2EC9" w:rsidP="00916364">
      <w:r>
        <w:separator/>
      </w:r>
    </w:p>
  </w:endnote>
  <w:endnote w:type="continuationSeparator" w:id="0">
    <w:p w:rsidR="001C2EC9" w:rsidRDefault="001C2EC9" w:rsidP="0091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FD" w:rsidRDefault="00BF3EA8">
    <w:pPr>
      <w:pStyle w:val="a3"/>
      <w:framePr w:wrap="around" w:vAnchor="text" w:hAnchor="margin" w:xAlign="center" w:y="1"/>
      <w:rPr>
        <w:rStyle w:val="a4"/>
      </w:rPr>
    </w:pPr>
    <w:r>
      <w:rPr>
        <w:rStyle w:val="a4"/>
      </w:rPr>
      <w:fldChar w:fldCharType="begin"/>
    </w:r>
    <w:r w:rsidR="00563DFD">
      <w:rPr>
        <w:rStyle w:val="a4"/>
      </w:rPr>
      <w:instrText xml:space="preserve">PAGE  </w:instrText>
    </w:r>
    <w:r>
      <w:rPr>
        <w:rStyle w:val="a4"/>
      </w:rPr>
      <w:fldChar w:fldCharType="end"/>
    </w:r>
  </w:p>
  <w:p w:rsidR="00563DFD" w:rsidRDefault="00563D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FD" w:rsidRDefault="00BF3EA8" w:rsidP="006F329C">
    <w:pPr>
      <w:pStyle w:val="a3"/>
      <w:framePr w:wrap="around" w:vAnchor="text" w:hAnchor="page" w:x="5941" w:y="7"/>
      <w:rPr>
        <w:rStyle w:val="a4"/>
      </w:rPr>
    </w:pPr>
    <w:r>
      <w:rPr>
        <w:rStyle w:val="a4"/>
      </w:rPr>
      <w:fldChar w:fldCharType="begin"/>
    </w:r>
    <w:r w:rsidR="00563DFD">
      <w:rPr>
        <w:rStyle w:val="a4"/>
      </w:rPr>
      <w:instrText xml:space="preserve">PAGE  </w:instrText>
    </w:r>
    <w:r>
      <w:rPr>
        <w:rStyle w:val="a4"/>
      </w:rPr>
      <w:fldChar w:fldCharType="separate"/>
    </w:r>
    <w:r w:rsidR="002440DD">
      <w:rPr>
        <w:rStyle w:val="a4"/>
        <w:noProof/>
      </w:rPr>
      <w:t>2</w:t>
    </w:r>
    <w:r>
      <w:rPr>
        <w:rStyle w:val="a4"/>
      </w:rPr>
      <w:fldChar w:fldCharType="end"/>
    </w:r>
  </w:p>
  <w:p w:rsidR="00563DFD" w:rsidRDefault="00563D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EC9" w:rsidRDefault="001C2EC9" w:rsidP="00916364">
      <w:r>
        <w:separator/>
      </w:r>
    </w:p>
  </w:footnote>
  <w:footnote w:type="continuationSeparator" w:id="0">
    <w:p w:rsidR="001C2EC9" w:rsidRDefault="001C2EC9" w:rsidP="00916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FD" w:rsidRPr="00161A42" w:rsidRDefault="00563DFD" w:rsidP="006F329C">
    <w:pPr>
      <w:pStyle w:val="a7"/>
      <w:jc w:val="right"/>
      <w:rPr>
        <w:rFonts w:ascii="隶书" w:eastAsia="隶书"/>
      </w:rPr>
    </w:pPr>
    <w:r>
      <w:ptab w:relativeTo="margin" w:alignment="center" w:leader="none"/>
    </w:r>
    <w:r>
      <w:ptab w:relativeTo="margin" w:alignment="right" w:leader="none"/>
    </w:r>
    <w:r>
      <w:rPr>
        <w:rFonts w:ascii="隶书" w:eastAsia="隶书" w:hint="eastAsia"/>
      </w:rPr>
      <w:t>基金产品风险评价指引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FD" w:rsidRPr="001A3AC3" w:rsidRDefault="00563DFD" w:rsidP="006F329C">
    <w:pPr>
      <w:wordWrap w:val="0"/>
      <w:rPr>
        <w:rFonts w:ascii="宋体" w:hAnsi="宋体"/>
        <w:szCs w:val="21"/>
      </w:rPr>
    </w:pPr>
    <w:r>
      <w:rPr>
        <w:rFonts w:hint="eastAsia"/>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49D"/>
    <w:multiLevelType w:val="hybridMultilevel"/>
    <w:tmpl w:val="44B8B448"/>
    <w:lvl w:ilvl="0" w:tplc="F148E6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15:restartNumberingAfterBreak="0">
    <w:nsid w:val="0F7B146B"/>
    <w:multiLevelType w:val="hybridMultilevel"/>
    <w:tmpl w:val="929CE8D2"/>
    <w:lvl w:ilvl="0" w:tplc="F45CFCA2">
      <w:start w:val="1"/>
      <w:numFmt w:val="chineseCountingThousand"/>
      <w:suff w:val="nothing"/>
      <w:lvlText w:val="%1、"/>
      <w:lvlJc w:val="left"/>
      <w:pPr>
        <w:ind w:left="480" w:hanging="480"/>
      </w:pPr>
      <w:rPr>
        <w:rFonts w:hint="default"/>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 w15:restartNumberingAfterBreak="0">
    <w:nsid w:val="164A45F2"/>
    <w:multiLevelType w:val="hybridMultilevel"/>
    <w:tmpl w:val="E71E2130"/>
    <w:lvl w:ilvl="0" w:tplc="9128589A">
      <w:start w:val="1"/>
      <w:numFmt w:val="chineseCountingThousand"/>
      <w:lvlText w:val="第%1条"/>
      <w:lvlJc w:val="left"/>
      <w:pPr>
        <w:ind w:left="1980" w:hanging="420"/>
      </w:pPr>
      <w:rPr>
        <w:rFonts w:ascii="宋体" w:eastAsia="宋体" w:hAnsi="宋体" w:hint="eastAsia"/>
        <w:b/>
        <w:color w:val="auto"/>
        <w:sz w:val="24"/>
        <w:szCs w:val="24"/>
      </w:rPr>
    </w:lvl>
    <w:lvl w:ilvl="1" w:tplc="04090019">
      <w:start w:val="1"/>
      <w:numFmt w:val="lowerLetter"/>
      <w:lvlText w:val="%2)"/>
      <w:lvlJc w:val="left"/>
      <w:pPr>
        <w:ind w:left="698" w:hanging="420"/>
      </w:pPr>
    </w:lvl>
    <w:lvl w:ilvl="2" w:tplc="0409001B" w:tentative="1">
      <w:start w:val="1"/>
      <w:numFmt w:val="lowerRoman"/>
      <w:lvlText w:val="%3."/>
      <w:lvlJc w:val="right"/>
      <w:pPr>
        <w:ind w:left="1118" w:hanging="420"/>
      </w:pPr>
    </w:lvl>
    <w:lvl w:ilvl="3" w:tplc="0409000F" w:tentative="1">
      <w:start w:val="1"/>
      <w:numFmt w:val="decimal"/>
      <w:lvlText w:val="%4."/>
      <w:lvlJc w:val="left"/>
      <w:pPr>
        <w:ind w:left="1538" w:hanging="420"/>
      </w:pPr>
    </w:lvl>
    <w:lvl w:ilvl="4" w:tplc="04090019" w:tentative="1">
      <w:start w:val="1"/>
      <w:numFmt w:val="lowerLetter"/>
      <w:lvlText w:val="%5)"/>
      <w:lvlJc w:val="left"/>
      <w:pPr>
        <w:ind w:left="1958" w:hanging="420"/>
      </w:pPr>
    </w:lvl>
    <w:lvl w:ilvl="5" w:tplc="0409001B" w:tentative="1">
      <w:start w:val="1"/>
      <w:numFmt w:val="lowerRoman"/>
      <w:lvlText w:val="%6."/>
      <w:lvlJc w:val="right"/>
      <w:pPr>
        <w:ind w:left="2378" w:hanging="420"/>
      </w:pPr>
    </w:lvl>
    <w:lvl w:ilvl="6" w:tplc="0409000F" w:tentative="1">
      <w:start w:val="1"/>
      <w:numFmt w:val="decimal"/>
      <w:lvlText w:val="%7."/>
      <w:lvlJc w:val="left"/>
      <w:pPr>
        <w:ind w:left="2798" w:hanging="420"/>
      </w:pPr>
    </w:lvl>
    <w:lvl w:ilvl="7" w:tplc="04090019" w:tentative="1">
      <w:start w:val="1"/>
      <w:numFmt w:val="lowerLetter"/>
      <w:lvlText w:val="%8)"/>
      <w:lvlJc w:val="left"/>
      <w:pPr>
        <w:ind w:left="3218" w:hanging="420"/>
      </w:pPr>
    </w:lvl>
    <w:lvl w:ilvl="8" w:tplc="0409001B" w:tentative="1">
      <w:start w:val="1"/>
      <w:numFmt w:val="lowerRoman"/>
      <w:lvlText w:val="%9."/>
      <w:lvlJc w:val="right"/>
      <w:pPr>
        <w:ind w:left="3638" w:hanging="420"/>
      </w:pPr>
    </w:lvl>
  </w:abstractNum>
  <w:abstractNum w:abstractNumId="3" w15:restartNumberingAfterBreak="0">
    <w:nsid w:val="1AAB45F8"/>
    <w:multiLevelType w:val="hybridMultilevel"/>
    <w:tmpl w:val="376CBCEA"/>
    <w:lvl w:ilvl="0" w:tplc="CE5C2E42">
      <w:start w:val="1"/>
      <w:numFmt w:val="chineseCountingThousand"/>
      <w:lvlText w:val="第%1条"/>
      <w:lvlJc w:val="left"/>
      <w:pPr>
        <w:ind w:left="-28" w:firstLine="454"/>
      </w:pPr>
      <w:rPr>
        <w:rFonts w:hint="default"/>
        <w:b/>
        <w:lang w:val="en-US"/>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4" w15:restartNumberingAfterBreak="0">
    <w:nsid w:val="1C5A550D"/>
    <w:multiLevelType w:val="multilevel"/>
    <w:tmpl w:val="62D85740"/>
    <w:lvl w:ilvl="0">
      <w:start w:val="1"/>
      <w:numFmt w:val="decimal"/>
      <w:lvlText w:val="%1"/>
      <w:lvlJc w:val="left"/>
      <w:pPr>
        <w:tabs>
          <w:tab w:val="num" w:pos="360"/>
        </w:tabs>
        <w:ind w:left="284" w:hanging="284"/>
      </w:pPr>
      <w:rPr>
        <w:rFonts w:hint="eastAsia"/>
      </w:rPr>
    </w:lvl>
    <w:lvl w:ilvl="1">
      <w:start w:val="1"/>
      <w:numFmt w:val="decimal"/>
      <w:lvlText w:val=".%2"/>
      <w:lvlJc w:val="left"/>
      <w:pPr>
        <w:tabs>
          <w:tab w:val="num" w:pos="567"/>
        </w:tabs>
        <w:ind w:left="567" w:hanging="567"/>
      </w:pPr>
      <w:rPr>
        <w:rFonts w:ascii="黑体" w:eastAsia="黑体" w:hint="eastAsia"/>
        <w:sz w:val="32"/>
        <w:szCs w:val="32"/>
      </w:rPr>
    </w:lvl>
    <w:lvl w:ilvl="2">
      <w:start w:val="1"/>
      <w:numFmt w:val="decimal"/>
      <w:lvlText w:val="%2.%3"/>
      <w:lvlJc w:val="left"/>
      <w:pPr>
        <w:tabs>
          <w:tab w:val="num" w:pos="720"/>
        </w:tabs>
        <w:ind w:left="567" w:hanging="567"/>
      </w:pPr>
      <w:rPr>
        <w:rFonts w:ascii="黑体" w:eastAsia="黑体" w:hint="eastAsia"/>
        <w:sz w:val="28"/>
        <w:szCs w:val="28"/>
      </w:rPr>
    </w:lvl>
    <w:lvl w:ilvl="3">
      <w:start w:val="1"/>
      <w:numFmt w:val="decimal"/>
      <w:lvlText w:val="%2.%3.%4"/>
      <w:lvlJc w:val="left"/>
      <w:pPr>
        <w:tabs>
          <w:tab w:val="num" w:pos="1364"/>
        </w:tabs>
        <w:ind w:left="284" w:firstLine="0"/>
      </w:pPr>
      <w:rPr>
        <w:rFonts w:hint="eastAsia"/>
      </w:rPr>
    </w:lvl>
    <w:lvl w:ilvl="4">
      <w:start w:val="1"/>
      <w:numFmt w:val="decimal"/>
      <w:pStyle w:val="5"/>
      <w:lvlText w:val="%2.%3.%4.%5"/>
      <w:lvlJc w:val="left"/>
      <w:pPr>
        <w:tabs>
          <w:tab w:val="num" w:pos="1082"/>
        </w:tabs>
        <w:ind w:left="0" w:firstLine="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2031353C"/>
    <w:multiLevelType w:val="multilevel"/>
    <w:tmpl w:val="CFCC5DB2"/>
    <w:lvl w:ilvl="0">
      <w:start w:val="3"/>
      <w:numFmt w:val="japaneseCounting"/>
      <w:lvlText w:val="第%1条"/>
      <w:lvlJc w:val="left"/>
      <w:pPr>
        <w:tabs>
          <w:tab w:val="num" w:pos="1530"/>
        </w:tabs>
        <w:ind w:left="1530" w:hanging="1530"/>
      </w:pPr>
      <w:rPr>
        <w:rFonts w:hint="default"/>
        <w:b/>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61A6C34"/>
    <w:multiLevelType w:val="hybridMultilevel"/>
    <w:tmpl w:val="0430EE9A"/>
    <w:lvl w:ilvl="0" w:tplc="36D4DF10">
      <w:start w:val="5"/>
      <w:numFmt w:val="japaneseCounting"/>
      <w:lvlText w:val="第%1条"/>
      <w:lvlJc w:val="left"/>
      <w:pPr>
        <w:tabs>
          <w:tab w:val="num" w:pos="855"/>
        </w:tabs>
        <w:ind w:left="855" w:hanging="855"/>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D7A4EA1"/>
    <w:multiLevelType w:val="hybridMultilevel"/>
    <w:tmpl w:val="27A8D6AA"/>
    <w:lvl w:ilvl="0" w:tplc="A2EA7D2E">
      <w:start w:val="1"/>
      <w:numFmt w:val="japaneseCounting"/>
      <w:lvlText w:val="第%1章"/>
      <w:lvlJc w:val="left"/>
      <w:pPr>
        <w:tabs>
          <w:tab w:val="num" w:pos="840"/>
        </w:tabs>
        <w:ind w:left="840" w:hanging="840"/>
      </w:pPr>
      <w:rPr>
        <w:rFonts w:hint="default"/>
      </w:rPr>
    </w:lvl>
    <w:lvl w:ilvl="1" w:tplc="6A18827C">
      <w:start w:val="1"/>
      <w:numFmt w:val="japaneseCounting"/>
      <w:lvlText w:val="第%2条"/>
      <w:lvlJc w:val="left"/>
      <w:pPr>
        <w:tabs>
          <w:tab w:val="num" w:pos="1658"/>
        </w:tabs>
        <w:ind w:left="-43" w:firstLine="463"/>
      </w:pPr>
      <w:rPr>
        <w:rFonts w:hint="default"/>
        <w:b/>
      </w:rPr>
    </w:lvl>
    <w:lvl w:ilvl="2" w:tplc="25E058C4">
      <w:start w:val="1"/>
      <w:numFmt w:val="japaneseCounting"/>
      <w:lvlText w:val="（%3）"/>
      <w:lvlJc w:val="left"/>
      <w:pPr>
        <w:tabs>
          <w:tab w:val="num" w:pos="1560"/>
        </w:tabs>
        <w:ind w:left="1560" w:hanging="720"/>
      </w:pPr>
      <w:rPr>
        <w:rFonts w:hint="default"/>
      </w:rPr>
    </w:lvl>
    <w:lvl w:ilvl="3" w:tplc="CAA49F86">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EAE73A0"/>
    <w:multiLevelType w:val="hybridMultilevel"/>
    <w:tmpl w:val="9ED261F8"/>
    <w:lvl w:ilvl="0" w:tplc="0CF803F2">
      <w:start w:val="5"/>
      <w:numFmt w:val="japaneseCounting"/>
      <w:lvlText w:val="第%1条"/>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FFC71F2"/>
    <w:multiLevelType w:val="hybridMultilevel"/>
    <w:tmpl w:val="8A78BD80"/>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401B034E"/>
    <w:multiLevelType w:val="hybridMultilevel"/>
    <w:tmpl w:val="14C2947A"/>
    <w:lvl w:ilvl="0" w:tplc="F45CFCA2">
      <w:start w:val="1"/>
      <w:numFmt w:val="chineseCountingThousand"/>
      <w:suff w:val="nothing"/>
      <w:lvlText w:val="%1、"/>
      <w:lvlJc w:val="left"/>
      <w:pPr>
        <w:ind w:left="480" w:hanging="480"/>
      </w:pPr>
      <w:rPr>
        <w:rFonts w:hint="default"/>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1" w15:restartNumberingAfterBreak="0">
    <w:nsid w:val="48313E1E"/>
    <w:multiLevelType w:val="hybridMultilevel"/>
    <w:tmpl w:val="2570842A"/>
    <w:lvl w:ilvl="0" w:tplc="DD2A478C">
      <w:start w:val="1"/>
      <w:numFmt w:val="japaneseCounting"/>
      <w:lvlText w:val="（%1）"/>
      <w:lvlJc w:val="left"/>
      <w:pPr>
        <w:ind w:left="1146" w:hanging="720"/>
      </w:pPr>
      <w:rPr>
        <w:rFonts w:ascii="宋体" w:eastAsia="宋体" w:hAnsi="宋体"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C3B4751"/>
    <w:multiLevelType w:val="hybridMultilevel"/>
    <w:tmpl w:val="8E4EE67C"/>
    <w:lvl w:ilvl="0" w:tplc="DD2A478C">
      <w:start w:val="1"/>
      <w:numFmt w:val="japaneseCounting"/>
      <w:lvlText w:val="（%1）"/>
      <w:lvlJc w:val="left"/>
      <w:pPr>
        <w:ind w:left="1146" w:hanging="720"/>
      </w:pPr>
      <w:rPr>
        <w:rFonts w:ascii="宋体" w:eastAsia="宋体" w:hAnsi="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707C2F"/>
    <w:multiLevelType w:val="multilevel"/>
    <w:tmpl w:val="CFCC5DB2"/>
    <w:lvl w:ilvl="0">
      <w:start w:val="3"/>
      <w:numFmt w:val="japaneseCounting"/>
      <w:lvlText w:val="第%1条"/>
      <w:lvlJc w:val="left"/>
      <w:pPr>
        <w:tabs>
          <w:tab w:val="num" w:pos="1530"/>
        </w:tabs>
        <w:ind w:left="1530" w:hanging="1530"/>
      </w:pPr>
      <w:rPr>
        <w:rFonts w:hint="default"/>
        <w:b/>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4D987601"/>
    <w:multiLevelType w:val="multilevel"/>
    <w:tmpl w:val="CFCC5DB2"/>
    <w:lvl w:ilvl="0">
      <w:start w:val="3"/>
      <w:numFmt w:val="japaneseCounting"/>
      <w:lvlText w:val="第%1条"/>
      <w:lvlJc w:val="left"/>
      <w:pPr>
        <w:tabs>
          <w:tab w:val="num" w:pos="1530"/>
        </w:tabs>
        <w:ind w:left="1530" w:hanging="1530"/>
      </w:pPr>
      <w:rPr>
        <w:rFonts w:hint="default"/>
        <w:b/>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5950F13"/>
    <w:multiLevelType w:val="hybridMultilevel"/>
    <w:tmpl w:val="1480DB8A"/>
    <w:lvl w:ilvl="0" w:tplc="CE5C2E42">
      <w:start w:val="1"/>
      <w:numFmt w:val="chineseCountingThousand"/>
      <w:lvlText w:val="第%1条"/>
      <w:lvlJc w:val="left"/>
      <w:pPr>
        <w:ind w:left="-28" w:firstLine="454"/>
      </w:pPr>
      <w:rPr>
        <w:rFonts w:hint="default"/>
        <w:b/>
        <w:lang w:val="en-US"/>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16" w15:restartNumberingAfterBreak="0">
    <w:nsid w:val="55AA2AEE"/>
    <w:multiLevelType w:val="hybridMultilevel"/>
    <w:tmpl w:val="9ADED208"/>
    <w:lvl w:ilvl="0" w:tplc="C0AABBEC">
      <w:start w:val="5"/>
      <w:numFmt w:val="japaneseCounting"/>
      <w:lvlText w:val="第%1条"/>
      <w:lvlJc w:val="left"/>
      <w:pPr>
        <w:tabs>
          <w:tab w:val="num" w:pos="975"/>
        </w:tabs>
        <w:ind w:left="975" w:hanging="975"/>
      </w:pPr>
      <w:rPr>
        <w:rFonts w:hint="default"/>
        <w:b/>
      </w:rPr>
    </w:lvl>
    <w:lvl w:ilvl="1" w:tplc="309AD59A">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57953800"/>
    <w:multiLevelType w:val="hybridMultilevel"/>
    <w:tmpl w:val="7FDC7A56"/>
    <w:lvl w:ilvl="0" w:tplc="E03E6560">
      <w:start w:val="5"/>
      <w:numFmt w:val="japaneseCounting"/>
      <w:lvlText w:val="第%1条"/>
      <w:lvlJc w:val="left"/>
      <w:pPr>
        <w:tabs>
          <w:tab w:val="num" w:pos="975"/>
        </w:tabs>
        <w:ind w:left="975" w:hanging="975"/>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57EA6336"/>
    <w:multiLevelType w:val="hybridMultilevel"/>
    <w:tmpl w:val="50B6CD52"/>
    <w:lvl w:ilvl="0" w:tplc="B1663450">
      <w:start w:val="9"/>
      <w:numFmt w:val="japaneseCounting"/>
      <w:lvlText w:val="第%1条"/>
      <w:lvlJc w:val="left"/>
      <w:pPr>
        <w:tabs>
          <w:tab w:val="num" w:pos="720"/>
        </w:tabs>
        <w:ind w:left="720" w:hanging="720"/>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81E4F6C"/>
    <w:multiLevelType w:val="hybridMultilevel"/>
    <w:tmpl w:val="561A750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A13593A"/>
    <w:multiLevelType w:val="hybridMultilevel"/>
    <w:tmpl w:val="376CBCEA"/>
    <w:lvl w:ilvl="0" w:tplc="CE5C2E42">
      <w:start w:val="1"/>
      <w:numFmt w:val="chineseCountingThousand"/>
      <w:lvlText w:val="第%1条"/>
      <w:lvlJc w:val="left"/>
      <w:pPr>
        <w:ind w:left="-28" w:firstLine="454"/>
      </w:pPr>
      <w:rPr>
        <w:rFonts w:hint="default"/>
        <w:b/>
        <w:lang w:val="en-US"/>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21" w15:restartNumberingAfterBreak="0">
    <w:nsid w:val="5B86602C"/>
    <w:multiLevelType w:val="hybridMultilevel"/>
    <w:tmpl w:val="03D8CB70"/>
    <w:lvl w:ilvl="0" w:tplc="275A0652">
      <w:start w:val="1"/>
      <w:numFmt w:val="decimal"/>
      <w:lvlText w:val="%1、"/>
      <w:lvlJc w:val="left"/>
      <w:pPr>
        <w:tabs>
          <w:tab w:val="num" w:pos="840"/>
        </w:tabs>
        <w:ind w:left="840" w:hanging="360"/>
      </w:pPr>
      <w:rPr>
        <w:rFonts w:ascii="宋体" w:eastAsia="宋体" w:hAnsi="宋体" w:hint="default"/>
        <w:sz w:val="24"/>
        <w:szCs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5EA104AC"/>
    <w:multiLevelType w:val="multilevel"/>
    <w:tmpl w:val="CFCC5DB2"/>
    <w:lvl w:ilvl="0">
      <w:start w:val="3"/>
      <w:numFmt w:val="japaneseCounting"/>
      <w:lvlText w:val="第%1条"/>
      <w:lvlJc w:val="left"/>
      <w:pPr>
        <w:tabs>
          <w:tab w:val="num" w:pos="1530"/>
        </w:tabs>
        <w:ind w:left="1530" w:hanging="1530"/>
      </w:pPr>
      <w:rPr>
        <w:rFonts w:hint="default"/>
        <w:b/>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5EE547D0"/>
    <w:multiLevelType w:val="hybridMultilevel"/>
    <w:tmpl w:val="00D89C42"/>
    <w:lvl w:ilvl="0" w:tplc="FAB6DB32">
      <w:start w:val="15"/>
      <w:numFmt w:val="chineseCountingThousand"/>
      <w:lvlText w:val="第%1条"/>
      <w:lvlJc w:val="left"/>
      <w:pPr>
        <w:ind w:left="846" w:hanging="420"/>
      </w:pPr>
      <w:rPr>
        <w:rFonts w:ascii="宋体" w:eastAsia="宋体" w:hAnsi="宋体" w:hint="eastAsia"/>
        <w:b/>
        <w:color w:val="auto"/>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F6B5581"/>
    <w:multiLevelType w:val="hybridMultilevel"/>
    <w:tmpl w:val="376CBCEA"/>
    <w:lvl w:ilvl="0" w:tplc="CE5C2E42">
      <w:start w:val="1"/>
      <w:numFmt w:val="chineseCountingThousand"/>
      <w:lvlText w:val="第%1条"/>
      <w:lvlJc w:val="left"/>
      <w:pPr>
        <w:ind w:left="-28" w:firstLine="454"/>
      </w:pPr>
      <w:rPr>
        <w:rFonts w:hint="default"/>
        <w:b/>
        <w:lang w:val="en-US"/>
      </w:rPr>
    </w:lvl>
    <w:lvl w:ilvl="1" w:tplc="04090019" w:tentative="1">
      <w:start w:val="1"/>
      <w:numFmt w:val="lowerLetter"/>
      <w:lvlText w:val="%2)"/>
      <w:lvlJc w:val="left"/>
      <w:pPr>
        <w:ind w:left="1570" w:hanging="420"/>
      </w:pPr>
    </w:lvl>
    <w:lvl w:ilvl="2" w:tplc="0409001B" w:tentative="1">
      <w:start w:val="1"/>
      <w:numFmt w:val="lowerRoman"/>
      <w:lvlText w:val="%3."/>
      <w:lvlJc w:val="right"/>
      <w:pPr>
        <w:ind w:left="1990" w:hanging="420"/>
      </w:pPr>
    </w:lvl>
    <w:lvl w:ilvl="3" w:tplc="0409000F" w:tentative="1">
      <w:start w:val="1"/>
      <w:numFmt w:val="decimal"/>
      <w:lvlText w:val="%4."/>
      <w:lvlJc w:val="left"/>
      <w:pPr>
        <w:ind w:left="2410" w:hanging="420"/>
      </w:pPr>
    </w:lvl>
    <w:lvl w:ilvl="4" w:tplc="04090019" w:tentative="1">
      <w:start w:val="1"/>
      <w:numFmt w:val="lowerLetter"/>
      <w:lvlText w:val="%5)"/>
      <w:lvlJc w:val="left"/>
      <w:pPr>
        <w:ind w:left="2830" w:hanging="420"/>
      </w:pPr>
    </w:lvl>
    <w:lvl w:ilvl="5" w:tplc="0409001B" w:tentative="1">
      <w:start w:val="1"/>
      <w:numFmt w:val="lowerRoman"/>
      <w:lvlText w:val="%6."/>
      <w:lvlJc w:val="right"/>
      <w:pPr>
        <w:ind w:left="3250" w:hanging="420"/>
      </w:pPr>
    </w:lvl>
    <w:lvl w:ilvl="6" w:tplc="0409000F" w:tentative="1">
      <w:start w:val="1"/>
      <w:numFmt w:val="decimal"/>
      <w:lvlText w:val="%7."/>
      <w:lvlJc w:val="left"/>
      <w:pPr>
        <w:ind w:left="3670" w:hanging="420"/>
      </w:pPr>
    </w:lvl>
    <w:lvl w:ilvl="7" w:tplc="04090019" w:tentative="1">
      <w:start w:val="1"/>
      <w:numFmt w:val="lowerLetter"/>
      <w:lvlText w:val="%8)"/>
      <w:lvlJc w:val="left"/>
      <w:pPr>
        <w:ind w:left="4090" w:hanging="420"/>
      </w:pPr>
    </w:lvl>
    <w:lvl w:ilvl="8" w:tplc="0409001B" w:tentative="1">
      <w:start w:val="1"/>
      <w:numFmt w:val="lowerRoman"/>
      <w:lvlText w:val="%9."/>
      <w:lvlJc w:val="right"/>
      <w:pPr>
        <w:ind w:left="4510" w:hanging="420"/>
      </w:pPr>
    </w:lvl>
  </w:abstractNum>
  <w:abstractNum w:abstractNumId="25" w15:restartNumberingAfterBreak="0">
    <w:nsid w:val="60840101"/>
    <w:multiLevelType w:val="hybridMultilevel"/>
    <w:tmpl w:val="85104278"/>
    <w:lvl w:ilvl="0" w:tplc="08A28988">
      <w:start w:val="28"/>
      <w:numFmt w:val="chineseCountingThousand"/>
      <w:lvlText w:val="第%1条"/>
      <w:lvlJc w:val="left"/>
      <w:pPr>
        <w:ind w:left="-28" w:firstLine="454"/>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2A1A3C"/>
    <w:multiLevelType w:val="hybridMultilevel"/>
    <w:tmpl w:val="3D648954"/>
    <w:lvl w:ilvl="0" w:tplc="F178367E">
      <w:start w:val="1"/>
      <w:numFmt w:val="japaneseCounting"/>
      <w:lvlText w:val="第%1条"/>
      <w:lvlJc w:val="left"/>
      <w:pPr>
        <w:tabs>
          <w:tab w:val="num" w:pos="840"/>
        </w:tabs>
        <w:ind w:left="840" w:hanging="840"/>
      </w:pPr>
      <w:rPr>
        <w:rFonts w:hAnsi="宋体" w:hint="default"/>
      </w:rPr>
    </w:lvl>
    <w:lvl w:ilvl="1" w:tplc="DE7E16F0">
      <w:start w:val="1"/>
      <w:numFmt w:val="decimal"/>
      <w:lvlText w:val="%2、"/>
      <w:lvlJc w:val="left"/>
      <w:pPr>
        <w:tabs>
          <w:tab w:val="num" w:pos="1327"/>
        </w:tabs>
        <w:ind w:left="1327" w:hanging="907"/>
      </w:pPr>
      <w:rPr>
        <w:rFonts w:ascii="Times New Roman" w:eastAsia="华文中宋" w:hAnsi="Times New Roman" w:cs="Times New Roman"/>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47809AB"/>
    <w:multiLevelType w:val="hybridMultilevel"/>
    <w:tmpl w:val="2B8AB5F6"/>
    <w:lvl w:ilvl="0" w:tplc="6FBAA198">
      <w:start w:val="1"/>
      <w:numFmt w:val="chineseCountingThousand"/>
      <w:lvlText w:val="第%1条"/>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5037941"/>
    <w:multiLevelType w:val="hybridMultilevel"/>
    <w:tmpl w:val="1A24425E"/>
    <w:lvl w:ilvl="0" w:tplc="A0DEE752">
      <w:start w:val="1"/>
      <w:numFmt w:val="japaneseCounting"/>
      <w:lvlText w:val="第%1条"/>
      <w:lvlJc w:val="left"/>
      <w:pPr>
        <w:ind w:left="1303" w:hanging="735"/>
      </w:pPr>
      <w:rPr>
        <w:rFonts w:hint="default"/>
        <w:b/>
        <w:sz w:val="28"/>
        <w:szCs w:val="28"/>
        <w:lang w:val="en-US"/>
      </w:rPr>
    </w:lvl>
    <w:lvl w:ilvl="1" w:tplc="04090013">
      <w:start w:val="1"/>
      <w:numFmt w:val="chineseCountingThousand"/>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9" w15:restartNumberingAfterBreak="0">
    <w:nsid w:val="6763038E"/>
    <w:multiLevelType w:val="hybridMultilevel"/>
    <w:tmpl w:val="CFCC5DB2"/>
    <w:lvl w:ilvl="0" w:tplc="78746EA2">
      <w:start w:val="3"/>
      <w:numFmt w:val="japaneseCounting"/>
      <w:lvlText w:val="第%1条"/>
      <w:lvlJc w:val="left"/>
      <w:pPr>
        <w:tabs>
          <w:tab w:val="num" w:pos="1530"/>
        </w:tabs>
        <w:ind w:left="1530" w:hanging="1530"/>
      </w:pPr>
      <w:rPr>
        <w:rFonts w:hint="default"/>
        <w:b/>
      </w:rPr>
    </w:lvl>
    <w:lvl w:ilvl="1" w:tplc="DB62B956">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B1C589D"/>
    <w:multiLevelType w:val="hybridMultilevel"/>
    <w:tmpl w:val="C6DEC046"/>
    <w:lvl w:ilvl="0" w:tplc="907A0E8E">
      <w:start w:val="1"/>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E4944B3"/>
    <w:multiLevelType w:val="hybridMultilevel"/>
    <w:tmpl w:val="9AEA93C8"/>
    <w:lvl w:ilvl="0" w:tplc="0409000B">
      <w:start w:val="1"/>
      <w:numFmt w:val="bullet"/>
      <w:lvlText w:val=""/>
      <w:lvlJc w:val="left"/>
      <w:pPr>
        <w:tabs>
          <w:tab w:val="num" w:pos="421"/>
        </w:tabs>
        <w:ind w:left="421" w:hanging="420"/>
      </w:pPr>
      <w:rPr>
        <w:rFonts w:ascii="Wingdings" w:hAnsi="Wingdings" w:hint="default"/>
      </w:rPr>
    </w:lvl>
    <w:lvl w:ilvl="1" w:tplc="04090003" w:tentative="1">
      <w:start w:val="1"/>
      <w:numFmt w:val="bullet"/>
      <w:lvlText w:val=""/>
      <w:lvlJc w:val="left"/>
      <w:pPr>
        <w:tabs>
          <w:tab w:val="num" w:pos="841"/>
        </w:tabs>
        <w:ind w:left="841" w:hanging="420"/>
      </w:pPr>
      <w:rPr>
        <w:rFonts w:ascii="Wingdings" w:hAnsi="Wingdings" w:hint="default"/>
      </w:rPr>
    </w:lvl>
    <w:lvl w:ilvl="2" w:tplc="04090005">
      <w:start w:val="1"/>
      <w:numFmt w:val="bullet"/>
      <w:lvlText w:val=""/>
      <w:lvlJc w:val="left"/>
      <w:pPr>
        <w:tabs>
          <w:tab w:val="num" w:pos="1261"/>
        </w:tabs>
        <w:ind w:left="1261" w:hanging="420"/>
      </w:pPr>
      <w:rPr>
        <w:rFonts w:ascii="Wingdings" w:hAnsi="Wingdings" w:hint="default"/>
      </w:rPr>
    </w:lvl>
    <w:lvl w:ilvl="3" w:tplc="04090001">
      <w:start w:val="1"/>
      <w:numFmt w:val="bullet"/>
      <w:lvlText w:val=""/>
      <w:lvlJc w:val="left"/>
      <w:pPr>
        <w:tabs>
          <w:tab w:val="num" w:pos="1681"/>
        </w:tabs>
        <w:ind w:left="1681" w:hanging="420"/>
      </w:pPr>
      <w:rPr>
        <w:rFonts w:ascii="Wingdings" w:hAnsi="Wingdings" w:hint="default"/>
      </w:rPr>
    </w:lvl>
    <w:lvl w:ilvl="4" w:tplc="04090003">
      <w:start w:val="1"/>
      <w:numFmt w:val="bullet"/>
      <w:lvlText w:val=""/>
      <w:lvlJc w:val="left"/>
      <w:pPr>
        <w:tabs>
          <w:tab w:val="num" w:pos="2101"/>
        </w:tabs>
        <w:ind w:left="2101" w:hanging="420"/>
      </w:pPr>
      <w:rPr>
        <w:rFonts w:ascii="Wingdings" w:hAnsi="Wingdings" w:hint="default"/>
      </w:rPr>
    </w:lvl>
    <w:lvl w:ilvl="5" w:tplc="04090005"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3" w:tentative="1">
      <w:start w:val="1"/>
      <w:numFmt w:val="bullet"/>
      <w:lvlText w:val=""/>
      <w:lvlJc w:val="left"/>
      <w:pPr>
        <w:tabs>
          <w:tab w:val="num" w:pos="3361"/>
        </w:tabs>
        <w:ind w:left="3361" w:hanging="420"/>
      </w:pPr>
      <w:rPr>
        <w:rFonts w:ascii="Wingdings" w:hAnsi="Wingdings" w:hint="default"/>
      </w:rPr>
    </w:lvl>
    <w:lvl w:ilvl="8" w:tplc="04090005" w:tentative="1">
      <w:start w:val="1"/>
      <w:numFmt w:val="bullet"/>
      <w:lvlText w:val=""/>
      <w:lvlJc w:val="left"/>
      <w:pPr>
        <w:tabs>
          <w:tab w:val="num" w:pos="3781"/>
        </w:tabs>
        <w:ind w:left="3781" w:hanging="420"/>
      </w:pPr>
      <w:rPr>
        <w:rFonts w:ascii="Wingdings" w:hAnsi="Wingdings" w:hint="default"/>
      </w:rPr>
    </w:lvl>
  </w:abstractNum>
  <w:abstractNum w:abstractNumId="32" w15:restartNumberingAfterBreak="0">
    <w:nsid w:val="703A3041"/>
    <w:multiLevelType w:val="hybridMultilevel"/>
    <w:tmpl w:val="15F26D28"/>
    <w:lvl w:ilvl="0" w:tplc="9F68C1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7AFE3403"/>
    <w:multiLevelType w:val="hybridMultilevel"/>
    <w:tmpl w:val="14C2947A"/>
    <w:lvl w:ilvl="0" w:tplc="F45CFCA2">
      <w:start w:val="1"/>
      <w:numFmt w:val="chineseCountingThousand"/>
      <w:suff w:val="nothing"/>
      <w:lvlText w:val="%1、"/>
      <w:lvlJc w:val="left"/>
      <w:pPr>
        <w:ind w:left="480" w:hanging="480"/>
      </w:pPr>
      <w:rPr>
        <w:rFonts w:hint="default"/>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4" w15:restartNumberingAfterBreak="0">
    <w:nsid w:val="7AFE44F8"/>
    <w:multiLevelType w:val="hybridMultilevel"/>
    <w:tmpl w:val="50A4140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E537A1B"/>
    <w:multiLevelType w:val="hybridMultilevel"/>
    <w:tmpl w:val="6FF4535E"/>
    <w:lvl w:ilvl="0" w:tplc="F7728460">
      <w:start w:val="27"/>
      <w:numFmt w:val="chineseCountingThousand"/>
      <w:lvlText w:val="第%1条"/>
      <w:lvlJc w:val="left"/>
      <w:pPr>
        <w:ind w:left="-28" w:firstLine="454"/>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9"/>
  </w:num>
  <w:num w:numId="2">
    <w:abstractNumId w:val="34"/>
  </w:num>
  <w:num w:numId="3">
    <w:abstractNumId w:val="19"/>
  </w:num>
  <w:num w:numId="4">
    <w:abstractNumId w:val="0"/>
  </w:num>
  <w:num w:numId="5">
    <w:abstractNumId w:val="4"/>
  </w:num>
  <w:num w:numId="6">
    <w:abstractNumId w:val="31"/>
  </w:num>
  <w:num w:numId="7">
    <w:abstractNumId w:val="26"/>
  </w:num>
  <w:num w:numId="8">
    <w:abstractNumId w:val="13"/>
  </w:num>
  <w:num w:numId="9">
    <w:abstractNumId w:val="22"/>
  </w:num>
  <w:num w:numId="10">
    <w:abstractNumId w:val="5"/>
  </w:num>
  <w:num w:numId="11">
    <w:abstractNumId w:val="14"/>
  </w:num>
  <w:num w:numId="12">
    <w:abstractNumId w:val="8"/>
  </w:num>
  <w:num w:numId="13">
    <w:abstractNumId w:val="6"/>
  </w:num>
  <w:num w:numId="14">
    <w:abstractNumId w:val="18"/>
  </w:num>
  <w:num w:numId="15">
    <w:abstractNumId w:val="17"/>
  </w:num>
  <w:num w:numId="16">
    <w:abstractNumId w:val="16"/>
  </w:num>
  <w:num w:numId="17">
    <w:abstractNumId w:val="7"/>
  </w:num>
  <w:num w:numId="18">
    <w:abstractNumId w:val="30"/>
  </w:num>
  <w:num w:numId="19">
    <w:abstractNumId w:val="27"/>
  </w:num>
  <w:num w:numId="20">
    <w:abstractNumId w:val="2"/>
  </w:num>
  <w:num w:numId="21">
    <w:abstractNumId w:val="21"/>
  </w:num>
  <w:num w:numId="22">
    <w:abstractNumId w:val="11"/>
  </w:num>
  <w:num w:numId="23">
    <w:abstractNumId w:val="12"/>
  </w:num>
  <w:num w:numId="24">
    <w:abstractNumId w:val="32"/>
  </w:num>
  <w:num w:numId="25">
    <w:abstractNumId w:val="33"/>
  </w:num>
  <w:num w:numId="26">
    <w:abstractNumId w:val="1"/>
  </w:num>
  <w:num w:numId="27">
    <w:abstractNumId w:val="10"/>
  </w:num>
  <w:num w:numId="28">
    <w:abstractNumId w:val="23"/>
  </w:num>
  <w:num w:numId="29">
    <w:abstractNumId w:val="15"/>
  </w:num>
  <w:num w:numId="30">
    <w:abstractNumId w:val="3"/>
  </w:num>
  <w:num w:numId="31">
    <w:abstractNumId w:val="20"/>
  </w:num>
  <w:num w:numId="32">
    <w:abstractNumId w:val="24"/>
  </w:num>
  <w:num w:numId="33">
    <w:abstractNumId w:val="35"/>
  </w:num>
  <w:num w:numId="34">
    <w:abstractNumId w:val="25"/>
  </w:num>
  <w:num w:numId="35">
    <w:abstractNumId w:val="28"/>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66"/>
    <w:rsid w:val="00006057"/>
    <w:rsid w:val="00006F9F"/>
    <w:rsid w:val="00014CFE"/>
    <w:rsid w:val="00030BF1"/>
    <w:rsid w:val="0005381A"/>
    <w:rsid w:val="000745BC"/>
    <w:rsid w:val="00077D97"/>
    <w:rsid w:val="000C1F1F"/>
    <w:rsid w:val="000C440A"/>
    <w:rsid w:val="000F438C"/>
    <w:rsid w:val="000F4528"/>
    <w:rsid w:val="000F47BF"/>
    <w:rsid w:val="001171A0"/>
    <w:rsid w:val="00120F4E"/>
    <w:rsid w:val="00124FEC"/>
    <w:rsid w:val="001312B2"/>
    <w:rsid w:val="00160537"/>
    <w:rsid w:val="001701DC"/>
    <w:rsid w:val="001831D3"/>
    <w:rsid w:val="001B45CD"/>
    <w:rsid w:val="001C2EC9"/>
    <w:rsid w:val="001D7926"/>
    <w:rsid w:val="001F0DCA"/>
    <w:rsid w:val="002041F7"/>
    <w:rsid w:val="0021107F"/>
    <w:rsid w:val="00214F57"/>
    <w:rsid w:val="0024355C"/>
    <w:rsid w:val="002440DD"/>
    <w:rsid w:val="002454D1"/>
    <w:rsid w:val="00250005"/>
    <w:rsid w:val="002528AA"/>
    <w:rsid w:val="00253283"/>
    <w:rsid w:val="002A09F6"/>
    <w:rsid w:val="002C1512"/>
    <w:rsid w:val="002C5DE2"/>
    <w:rsid w:val="002E37FA"/>
    <w:rsid w:val="002E7A2B"/>
    <w:rsid w:val="002F52F1"/>
    <w:rsid w:val="003328F8"/>
    <w:rsid w:val="00356E67"/>
    <w:rsid w:val="003960EA"/>
    <w:rsid w:val="003B2515"/>
    <w:rsid w:val="003D352F"/>
    <w:rsid w:val="003D3A68"/>
    <w:rsid w:val="003D4077"/>
    <w:rsid w:val="003D5FE0"/>
    <w:rsid w:val="003E102A"/>
    <w:rsid w:val="003E3C87"/>
    <w:rsid w:val="003F4093"/>
    <w:rsid w:val="0040071B"/>
    <w:rsid w:val="0042523E"/>
    <w:rsid w:val="004375AD"/>
    <w:rsid w:val="0045689F"/>
    <w:rsid w:val="00456A4A"/>
    <w:rsid w:val="004579F7"/>
    <w:rsid w:val="00472469"/>
    <w:rsid w:val="0048296E"/>
    <w:rsid w:val="004A4A8A"/>
    <w:rsid w:val="004D7DA3"/>
    <w:rsid w:val="004E2D87"/>
    <w:rsid w:val="004E3B2A"/>
    <w:rsid w:val="004F4FD3"/>
    <w:rsid w:val="00504213"/>
    <w:rsid w:val="00544D80"/>
    <w:rsid w:val="0055182A"/>
    <w:rsid w:val="005546FE"/>
    <w:rsid w:val="00556C24"/>
    <w:rsid w:val="005618A0"/>
    <w:rsid w:val="00563DFD"/>
    <w:rsid w:val="00580EEA"/>
    <w:rsid w:val="00591238"/>
    <w:rsid w:val="00591AD5"/>
    <w:rsid w:val="005D44D8"/>
    <w:rsid w:val="00603A3B"/>
    <w:rsid w:val="006063F3"/>
    <w:rsid w:val="00613CD6"/>
    <w:rsid w:val="00614D2C"/>
    <w:rsid w:val="006203C1"/>
    <w:rsid w:val="00635A83"/>
    <w:rsid w:val="0064027C"/>
    <w:rsid w:val="0065038B"/>
    <w:rsid w:val="00664FF9"/>
    <w:rsid w:val="006728EB"/>
    <w:rsid w:val="0067501A"/>
    <w:rsid w:val="0068258E"/>
    <w:rsid w:val="006906F7"/>
    <w:rsid w:val="006C06DD"/>
    <w:rsid w:val="006E12BC"/>
    <w:rsid w:val="006F329C"/>
    <w:rsid w:val="007158FE"/>
    <w:rsid w:val="00720366"/>
    <w:rsid w:val="00724C2F"/>
    <w:rsid w:val="00733478"/>
    <w:rsid w:val="007530B7"/>
    <w:rsid w:val="00756F30"/>
    <w:rsid w:val="00776110"/>
    <w:rsid w:val="00777BA6"/>
    <w:rsid w:val="00782104"/>
    <w:rsid w:val="007B14D9"/>
    <w:rsid w:val="007C3FFD"/>
    <w:rsid w:val="007D39A3"/>
    <w:rsid w:val="007E45FA"/>
    <w:rsid w:val="007F0A92"/>
    <w:rsid w:val="007F62CA"/>
    <w:rsid w:val="008105DF"/>
    <w:rsid w:val="00831CEA"/>
    <w:rsid w:val="00832ECD"/>
    <w:rsid w:val="0087373C"/>
    <w:rsid w:val="00887946"/>
    <w:rsid w:val="00893B26"/>
    <w:rsid w:val="008A383D"/>
    <w:rsid w:val="008B5FAD"/>
    <w:rsid w:val="008C1074"/>
    <w:rsid w:val="008D48E6"/>
    <w:rsid w:val="008E7EDF"/>
    <w:rsid w:val="008F2F6D"/>
    <w:rsid w:val="008F7E0B"/>
    <w:rsid w:val="009062AB"/>
    <w:rsid w:val="00906B71"/>
    <w:rsid w:val="0091580F"/>
    <w:rsid w:val="00915A77"/>
    <w:rsid w:val="00916364"/>
    <w:rsid w:val="00954356"/>
    <w:rsid w:val="00956D08"/>
    <w:rsid w:val="009622C2"/>
    <w:rsid w:val="009761E5"/>
    <w:rsid w:val="00984F29"/>
    <w:rsid w:val="00985757"/>
    <w:rsid w:val="00990282"/>
    <w:rsid w:val="009A7800"/>
    <w:rsid w:val="009E4A3E"/>
    <w:rsid w:val="009E664D"/>
    <w:rsid w:val="00A0241A"/>
    <w:rsid w:val="00A21149"/>
    <w:rsid w:val="00A3231D"/>
    <w:rsid w:val="00A34FD5"/>
    <w:rsid w:val="00A437EC"/>
    <w:rsid w:val="00A54258"/>
    <w:rsid w:val="00A60792"/>
    <w:rsid w:val="00A6702A"/>
    <w:rsid w:val="00A84A74"/>
    <w:rsid w:val="00AA7359"/>
    <w:rsid w:val="00AB013C"/>
    <w:rsid w:val="00AB1586"/>
    <w:rsid w:val="00AC3A3F"/>
    <w:rsid w:val="00AC456C"/>
    <w:rsid w:val="00AC4D55"/>
    <w:rsid w:val="00AD485E"/>
    <w:rsid w:val="00AE1591"/>
    <w:rsid w:val="00AE25E9"/>
    <w:rsid w:val="00AE2A07"/>
    <w:rsid w:val="00AE4919"/>
    <w:rsid w:val="00AF74B4"/>
    <w:rsid w:val="00B261B0"/>
    <w:rsid w:val="00B35DA4"/>
    <w:rsid w:val="00B42777"/>
    <w:rsid w:val="00B514FD"/>
    <w:rsid w:val="00B57D94"/>
    <w:rsid w:val="00B64F55"/>
    <w:rsid w:val="00BB5517"/>
    <w:rsid w:val="00BB7161"/>
    <w:rsid w:val="00BC3FE3"/>
    <w:rsid w:val="00BC5EBC"/>
    <w:rsid w:val="00BD10F5"/>
    <w:rsid w:val="00BD2256"/>
    <w:rsid w:val="00BE2495"/>
    <w:rsid w:val="00BE2AFC"/>
    <w:rsid w:val="00BF3EA8"/>
    <w:rsid w:val="00C0712B"/>
    <w:rsid w:val="00C16417"/>
    <w:rsid w:val="00C2357E"/>
    <w:rsid w:val="00C271CA"/>
    <w:rsid w:val="00C333E4"/>
    <w:rsid w:val="00C433C2"/>
    <w:rsid w:val="00C53051"/>
    <w:rsid w:val="00C91367"/>
    <w:rsid w:val="00C922F8"/>
    <w:rsid w:val="00CD0DDF"/>
    <w:rsid w:val="00CD2591"/>
    <w:rsid w:val="00CE60B8"/>
    <w:rsid w:val="00D152BB"/>
    <w:rsid w:val="00D34A1E"/>
    <w:rsid w:val="00D54EDA"/>
    <w:rsid w:val="00D709AB"/>
    <w:rsid w:val="00D93745"/>
    <w:rsid w:val="00DA04DB"/>
    <w:rsid w:val="00DB1761"/>
    <w:rsid w:val="00DE0AEC"/>
    <w:rsid w:val="00DE364C"/>
    <w:rsid w:val="00E005BC"/>
    <w:rsid w:val="00E23258"/>
    <w:rsid w:val="00E27C30"/>
    <w:rsid w:val="00E45477"/>
    <w:rsid w:val="00E62B16"/>
    <w:rsid w:val="00E671FC"/>
    <w:rsid w:val="00E72783"/>
    <w:rsid w:val="00EB3CC9"/>
    <w:rsid w:val="00EC401E"/>
    <w:rsid w:val="00EC43C9"/>
    <w:rsid w:val="00ED0D08"/>
    <w:rsid w:val="00ED51AA"/>
    <w:rsid w:val="00EE4AD2"/>
    <w:rsid w:val="00EF117F"/>
    <w:rsid w:val="00EF1E34"/>
    <w:rsid w:val="00EF5D1F"/>
    <w:rsid w:val="00F03D67"/>
    <w:rsid w:val="00F10704"/>
    <w:rsid w:val="00F17C41"/>
    <w:rsid w:val="00F26E2E"/>
    <w:rsid w:val="00F37121"/>
    <w:rsid w:val="00F44A29"/>
    <w:rsid w:val="00F46B1C"/>
    <w:rsid w:val="00F73B46"/>
    <w:rsid w:val="00F94D78"/>
    <w:rsid w:val="00F95FE0"/>
    <w:rsid w:val="00FA20E2"/>
    <w:rsid w:val="00FD4725"/>
    <w:rsid w:val="00FE387F"/>
    <w:rsid w:val="00FF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0AC283-5CB9-4B4F-81F4-D4F9F925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366"/>
    <w:pPr>
      <w:widowControl w:val="0"/>
      <w:jc w:val="both"/>
    </w:pPr>
    <w:rPr>
      <w:rFonts w:ascii="Times New Roman" w:eastAsia="宋体" w:hAnsi="Times New Roman" w:cs="Times New Roman"/>
      <w:szCs w:val="24"/>
    </w:rPr>
  </w:style>
  <w:style w:type="paragraph" w:styleId="1">
    <w:name w:val="heading 1"/>
    <w:basedOn w:val="a"/>
    <w:next w:val="a"/>
    <w:link w:val="1Char"/>
    <w:qFormat/>
    <w:rsid w:val="00720366"/>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720366"/>
    <w:pPr>
      <w:keepNext/>
      <w:keepLines/>
      <w:spacing w:before="260" w:after="260" w:line="416" w:lineRule="auto"/>
      <w:outlineLvl w:val="2"/>
    </w:pPr>
    <w:rPr>
      <w:b/>
      <w:bCs/>
      <w:sz w:val="32"/>
      <w:szCs w:val="32"/>
    </w:rPr>
  </w:style>
  <w:style w:type="paragraph" w:styleId="5">
    <w:name w:val="heading 5"/>
    <w:basedOn w:val="a"/>
    <w:next w:val="a"/>
    <w:link w:val="5Char"/>
    <w:qFormat/>
    <w:rsid w:val="00720366"/>
    <w:pPr>
      <w:keepNext/>
      <w:keepLines/>
      <w:numPr>
        <w:ilvl w:val="4"/>
        <w:numId w:val="5"/>
      </w:numPr>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20366"/>
    <w:rPr>
      <w:rFonts w:ascii="Times New Roman" w:eastAsia="宋体" w:hAnsi="Times New Roman" w:cs="Times New Roman"/>
      <w:b/>
      <w:bCs/>
      <w:kern w:val="44"/>
      <w:sz w:val="44"/>
      <w:szCs w:val="44"/>
    </w:rPr>
  </w:style>
  <w:style w:type="character" w:customStyle="1" w:styleId="3Char">
    <w:name w:val="标题 3 Char"/>
    <w:basedOn w:val="a0"/>
    <w:link w:val="3"/>
    <w:rsid w:val="00720366"/>
    <w:rPr>
      <w:rFonts w:ascii="Times New Roman" w:eastAsia="宋体" w:hAnsi="Times New Roman" w:cs="Times New Roman"/>
      <w:b/>
      <w:bCs/>
      <w:sz w:val="32"/>
      <w:szCs w:val="32"/>
    </w:rPr>
  </w:style>
  <w:style w:type="character" w:customStyle="1" w:styleId="5Char">
    <w:name w:val="标题 5 Char"/>
    <w:basedOn w:val="a0"/>
    <w:link w:val="5"/>
    <w:rsid w:val="00720366"/>
    <w:rPr>
      <w:rFonts w:ascii="Times New Roman" w:eastAsia="宋体" w:hAnsi="Times New Roman" w:cs="Times New Roman"/>
      <w:b/>
      <w:bCs/>
      <w:sz w:val="28"/>
      <w:szCs w:val="28"/>
    </w:rPr>
  </w:style>
  <w:style w:type="paragraph" w:styleId="a3">
    <w:name w:val="footer"/>
    <w:basedOn w:val="a"/>
    <w:link w:val="Char"/>
    <w:uiPriority w:val="99"/>
    <w:rsid w:val="00720366"/>
    <w:pPr>
      <w:tabs>
        <w:tab w:val="center" w:pos="4153"/>
        <w:tab w:val="right" w:pos="8306"/>
      </w:tabs>
      <w:snapToGrid w:val="0"/>
      <w:jc w:val="left"/>
    </w:pPr>
    <w:rPr>
      <w:sz w:val="18"/>
      <w:szCs w:val="18"/>
    </w:rPr>
  </w:style>
  <w:style w:type="character" w:customStyle="1" w:styleId="Char">
    <w:name w:val="页脚 Char"/>
    <w:basedOn w:val="a0"/>
    <w:link w:val="a3"/>
    <w:uiPriority w:val="99"/>
    <w:rsid w:val="00720366"/>
    <w:rPr>
      <w:rFonts w:ascii="Times New Roman" w:eastAsia="宋体" w:hAnsi="Times New Roman" w:cs="Times New Roman"/>
      <w:sz w:val="18"/>
      <w:szCs w:val="18"/>
    </w:rPr>
  </w:style>
  <w:style w:type="character" w:styleId="a4">
    <w:name w:val="page number"/>
    <w:basedOn w:val="a0"/>
    <w:rsid w:val="00720366"/>
  </w:style>
  <w:style w:type="paragraph" w:styleId="a5">
    <w:name w:val="Balloon Text"/>
    <w:basedOn w:val="a"/>
    <w:link w:val="Char0"/>
    <w:semiHidden/>
    <w:rsid w:val="00720366"/>
    <w:rPr>
      <w:sz w:val="18"/>
      <w:szCs w:val="18"/>
    </w:rPr>
  </w:style>
  <w:style w:type="character" w:customStyle="1" w:styleId="Char0">
    <w:name w:val="批注框文本 Char"/>
    <w:basedOn w:val="a0"/>
    <w:link w:val="a5"/>
    <w:semiHidden/>
    <w:rsid w:val="00720366"/>
    <w:rPr>
      <w:rFonts w:ascii="Times New Roman" w:eastAsia="宋体" w:hAnsi="Times New Roman" w:cs="Times New Roman"/>
      <w:sz w:val="18"/>
      <w:szCs w:val="18"/>
    </w:rPr>
  </w:style>
  <w:style w:type="paragraph" w:styleId="a6">
    <w:name w:val="Plain Text"/>
    <w:basedOn w:val="a"/>
    <w:link w:val="Char1"/>
    <w:rsid w:val="00720366"/>
    <w:rPr>
      <w:rFonts w:ascii="宋体" w:hAnsi="Courier New" w:cs="Courier New"/>
      <w:szCs w:val="21"/>
    </w:rPr>
  </w:style>
  <w:style w:type="character" w:customStyle="1" w:styleId="Char1">
    <w:name w:val="纯文本 Char"/>
    <w:basedOn w:val="a0"/>
    <w:link w:val="a6"/>
    <w:rsid w:val="00720366"/>
    <w:rPr>
      <w:rFonts w:ascii="宋体" w:eastAsia="宋体" w:hAnsi="Courier New" w:cs="Courier New"/>
      <w:szCs w:val="21"/>
    </w:rPr>
  </w:style>
  <w:style w:type="paragraph" w:styleId="a7">
    <w:name w:val="header"/>
    <w:basedOn w:val="a"/>
    <w:link w:val="Char2"/>
    <w:uiPriority w:val="99"/>
    <w:rsid w:val="00720366"/>
    <w:pPr>
      <w:pBdr>
        <w:bottom w:val="single" w:sz="6" w:space="1" w:color="auto"/>
      </w:pBdr>
      <w:tabs>
        <w:tab w:val="center" w:pos="4153"/>
        <w:tab w:val="right" w:pos="8306"/>
      </w:tabs>
      <w:snapToGrid w:val="0"/>
      <w:jc w:val="center"/>
    </w:pPr>
    <w:rPr>
      <w:rFonts w:ascii="华文楷体" w:eastAsia="楷体_GB2312" w:hAnsi="华文楷体"/>
      <w:sz w:val="18"/>
      <w:szCs w:val="18"/>
    </w:rPr>
  </w:style>
  <w:style w:type="character" w:customStyle="1" w:styleId="Char2">
    <w:name w:val="页眉 Char"/>
    <w:basedOn w:val="a0"/>
    <w:link w:val="a7"/>
    <w:uiPriority w:val="99"/>
    <w:rsid w:val="00720366"/>
    <w:rPr>
      <w:rFonts w:ascii="华文楷体" w:eastAsia="楷体_GB2312" w:hAnsi="华文楷体" w:cs="Times New Roman"/>
      <w:sz w:val="18"/>
      <w:szCs w:val="18"/>
    </w:rPr>
  </w:style>
  <w:style w:type="character" w:customStyle="1" w:styleId="grame">
    <w:name w:val="grame"/>
    <w:basedOn w:val="a0"/>
    <w:rsid w:val="00720366"/>
  </w:style>
  <w:style w:type="character" w:styleId="a8">
    <w:name w:val="annotation reference"/>
    <w:basedOn w:val="a0"/>
    <w:semiHidden/>
    <w:rsid w:val="00720366"/>
    <w:rPr>
      <w:sz w:val="21"/>
      <w:szCs w:val="21"/>
    </w:rPr>
  </w:style>
  <w:style w:type="paragraph" w:styleId="a9">
    <w:name w:val="annotation text"/>
    <w:basedOn w:val="a"/>
    <w:link w:val="Char3"/>
    <w:semiHidden/>
    <w:rsid w:val="00720366"/>
    <w:pPr>
      <w:jc w:val="left"/>
    </w:pPr>
  </w:style>
  <w:style w:type="character" w:customStyle="1" w:styleId="Char3">
    <w:name w:val="批注文字 Char"/>
    <w:basedOn w:val="a0"/>
    <w:link w:val="a9"/>
    <w:semiHidden/>
    <w:rsid w:val="00720366"/>
    <w:rPr>
      <w:rFonts w:ascii="Times New Roman" w:eastAsia="宋体" w:hAnsi="Times New Roman" w:cs="Times New Roman"/>
      <w:szCs w:val="24"/>
    </w:rPr>
  </w:style>
  <w:style w:type="paragraph" w:styleId="aa">
    <w:name w:val="annotation subject"/>
    <w:basedOn w:val="a9"/>
    <w:next w:val="a9"/>
    <w:link w:val="Char4"/>
    <w:semiHidden/>
    <w:rsid w:val="00720366"/>
    <w:rPr>
      <w:b/>
      <w:bCs/>
    </w:rPr>
  </w:style>
  <w:style w:type="character" w:customStyle="1" w:styleId="Char4">
    <w:name w:val="批注主题 Char"/>
    <w:basedOn w:val="Char3"/>
    <w:link w:val="aa"/>
    <w:semiHidden/>
    <w:rsid w:val="00720366"/>
    <w:rPr>
      <w:rFonts w:ascii="Times New Roman" w:eastAsia="宋体" w:hAnsi="Times New Roman" w:cs="Times New Roman"/>
      <w:b/>
      <w:bCs/>
      <w:szCs w:val="24"/>
    </w:rPr>
  </w:style>
  <w:style w:type="paragraph" w:styleId="ab">
    <w:name w:val="List Paragraph"/>
    <w:basedOn w:val="a"/>
    <w:uiPriority w:val="34"/>
    <w:qFormat/>
    <w:rsid w:val="00720366"/>
    <w:pPr>
      <w:ind w:firstLineChars="200" w:firstLine="420"/>
    </w:pPr>
    <w:rPr>
      <w:rFonts w:ascii="Calibri" w:hAnsi="Calibri"/>
      <w:szCs w:val="22"/>
    </w:rPr>
  </w:style>
  <w:style w:type="paragraph" w:customStyle="1" w:styleId="zFSTitle">
    <w:name w:val="zFSTitle"/>
    <w:basedOn w:val="a"/>
    <w:next w:val="a"/>
    <w:rsid w:val="00720366"/>
    <w:pPr>
      <w:keepNext/>
      <w:widowControl/>
      <w:spacing w:before="300" w:after="300" w:line="341" w:lineRule="auto"/>
      <w:jc w:val="left"/>
    </w:pPr>
    <w:rPr>
      <w:rFonts w:ascii="Arial" w:hAnsi="Arial"/>
      <w:kern w:val="0"/>
      <w:sz w:val="28"/>
      <w:lang w:val="en-GB" w:eastAsia="en-US"/>
    </w:rPr>
  </w:style>
  <w:style w:type="paragraph" w:styleId="ac">
    <w:name w:val="List"/>
    <w:basedOn w:val="a"/>
    <w:rsid w:val="00720366"/>
    <w:pPr>
      <w:ind w:left="200" w:hangingChars="200" w:hanging="200"/>
    </w:pPr>
  </w:style>
  <w:style w:type="paragraph" w:customStyle="1" w:styleId="Char5">
    <w:name w:val="Char"/>
    <w:basedOn w:val="a"/>
    <w:autoRedefine/>
    <w:rsid w:val="00720366"/>
    <w:pPr>
      <w:tabs>
        <w:tab w:val="num" w:pos="840"/>
      </w:tabs>
      <w:adjustRightInd w:val="0"/>
      <w:spacing w:line="360" w:lineRule="atLeast"/>
      <w:ind w:left="840" w:hanging="360"/>
      <w:textAlignment w:val="baseline"/>
    </w:pPr>
    <w:rPr>
      <w:sz w:val="24"/>
    </w:rPr>
  </w:style>
  <w:style w:type="paragraph" w:customStyle="1" w:styleId="CharCharChar">
    <w:name w:val="Char Char Char"/>
    <w:basedOn w:val="a"/>
    <w:rsid w:val="00720366"/>
    <w:rPr>
      <w:sz w:val="24"/>
    </w:rPr>
  </w:style>
  <w:style w:type="paragraph" w:styleId="TOC">
    <w:name w:val="TOC Heading"/>
    <w:basedOn w:val="1"/>
    <w:next w:val="a"/>
    <w:uiPriority w:val="39"/>
    <w:unhideWhenUsed/>
    <w:qFormat/>
    <w:rsid w:val="0072036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rsid w:val="00720366"/>
    <w:pPr>
      <w:tabs>
        <w:tab w:val="right" w:leader="dot" w:pos="8296"/>
      </w:tabs>
      <w:spacing w:before="100" w:beforeAutospacing="1" w:after="100" w:afterAutospacing="1" w:line="360" w:lineRule="auto"/>
    </w:pPr>
  </w:style>
  <w:style w:type="character" w:styleId="ad">
    <w:name w:val="Hyperlink"/>
    <w:basedOn w:val="a0"/>
    <w:uiPriority w:val="99"/>
    <w:unhideWhenUsed/>
    <w:rsid w:val="00720366"/>
    <w:rPr>
      <w:color w:val="0000FF" w:themeColor="hyperlink"/>
      <w:u w:val="single"/>
    </w:rPr>
  </w:style>
  <w:style w:type="paragraph" w:styleId="30">
    <w:name w:val="toc 3"/>
    <w:basedOn w:val="a"/>
    <w:next w:val="a"/>
    <w:autoRedefine/>
    <w:uiPriority w:val="39"/>
    <w:rsid w:val="00720366"/>
    <w:pPr>
      <w:ind w:leftChars="400" w:left="840"/>
    </w:pPr>
  </w:style>
  <w:style w:type="paragraph" w:styleId="ae">
    <w:name w:val="Title"/>
    <w:basedOn w:val="a"/>
    <w:next w:val="a"/>
    <w:link w:val="Char6"/>
    <w:uiPriority w:val="10"/>
    <w:qFormat/>
    <w:rsid w:val="00720366"/>
    <w:pPr>
      <w:spacing w:before="240" w:after="60"/>
      <w:jc w:val="center"/>
      <w:outlineLvl w:val="0"/>
    </w:pPr>
    <w:rPr>
      <w:rFonts w:ascii="Cambria" w:hAnsi="Cambria"/>
      <w:b/>
      <w:bCs/>
      <w:sz w:val="44"/>
      <w:szCs w:val="32"/>
    </w:rPr>
  </w:style>
  <w:style w:type="character" w:customStyle="1" w:styleId="Char6">
    <w:name w:val="标题 Char"/>
    <w:basedOn w:val="a0"/>
    <w:link w:val="ae"/>
    <w:uiPriority w:val="10"/>
    <w:rsid w:val="00720366"/>
    <w:rPr>
      <w:rFonts w:ascii="Cambria" w:eastAsia="宋体" w:hAnsi="Cambria" w:cs="Times New Roman"/>
      <w:b/>
      <w:bCs/>
      <w:sz w:val="44"/>
      <w:szCs w:val="32"/>
    </w:rPr>
  </w:style>
  <w:style w:type="paragraph" w:styleId="2">
    <w:name w:val="toc 2"/>
    <w:basedOn w:val="a"/>
    <w:next w:val="a"/>
    <w:autoRedefine/>
    <w:uiPriority w:val="39"/>
    <w:rsid w:val="00720366"/>
    <w:pPr>
      <w:tabs>
        <w:tab w:val="right" w:leader="dot" w:pos="8296"/>
      </w:tabs>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37975">
      <w:bodyDiv w:val="1"/>
      <w:marLeft w:val="0"/>
      <w:marRight w:val="0"/>
      <w:marTop w:val="0"/>
      <w:marBottom w:val="0"/>
      <w:divBdr>
        <w:top w:val="none" w:sz="0" w:space="0" w:color="auto"/>
        <w:left w:val="none" w:sz="0" w:space="0" w:color="auto"/>
        <w:bottom w:val="none" w:sz="0" w:space="0" w:color="auto"/>
        <w:right w:val="none" w:sz="0" w:space="0" w:color="auto"/>
      </w:divBdr>
    </w:div>
    <w:div w:id="200304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32C72-F80B-4795-8525-9337C1458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1350</Words>
  <Characters>7695</Characters>
  <Application>Microsoft Office Word</Application>
  <DocSecurity>0</DocSecurity>
  <Lines>64</Lines>
  <Paragraphs>18</Paragraphs>
  <ScaleCrop>false</ScaleCrop>
  <Company>Microsoft</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yinping</dc:creator>
  <cp:lastModifiedBy>黄天红</cp:lastModifiedBy>
  <cp:revision>2</cp:revision>
  <cp:lastPrinted>2018-05-11T01:45:00Z</cp:lastPrinted>
  <dcterms:created xsi:type="dcterms:W3CDTF">2020-01-22T09:09:00Z</dcterms:created>
  <dcterms:modified xsi:type="dcterms:W3CDTF">2020-01-22T09:09:00Z</dcterms:modified>
</cp:coreProperties>
</file>