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5D" w:rsidRPr="007C46D5" w:rsidRDefault="006F6C5D" w:rsidP="006F6C5D">
      <w:pPr>
        <w:spacing w:line="360" w:lineRule="auto"/>
        <w:jc w:val="center"/>
        <w:rPr>
          <w:rFonts w:ascii="黑体" w:eastAsia="黑体" w:hAnsi="黑体"/>
          <w:b/>
          <w:sz w:val="32"/>
        </w:rPr>
      </w:pPr>
      <w:r w:rsidRPr="007C46D5">
        <w:rPr>
          <w:rFonts w:ascii="黑体" w:eastAsia="黑体" w:hAnsi="黑体" w:hint="eastAsia"/>
          <w:b/>
          <w:sz w:val="32"/>
        </w:rPr>
        <w:t>风险揭示书</w:t>
      </w:r>
    </w:p>
    <w:p w:rsidR="001F5C75" w:rsidRPr="007C46D5" w:rsidRDefault="00995B32" w:rsidP="00735630">
      <w:pPr>
        <w:rPr>
          <w:rFonts w:ascii="Arial" w:hAnsi="Arial" w:cs="Arial"/>
          <w:b/>
          <w:color w:val="000000"/>
          <w:sz w:val="24"/>
          <w:u w:val="single"/>
        </w:rPr>
      </w:pPr>
      <w:r>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1312" o:connectortype="straight" strokeweight="1.25pt">
            <v:stroke dashstyle="dash"/>
          </v:shape>
        </w:pict>
      </w:r>
    </w:p>
    <w:p w:rsidR="00293057" w:rsidRPr="007C46D5" w:rsidRDefault="00293057" w:rsidP="00293057">
      <w:pPr>
        <w:spacing w:line="360" w:lineRule="auto"/>
        <w:ind w:firstLineChars="200" w:firstLine="482"/>
        <w:jc w:val="left"/>
        <w:rPr>
          <w:rFonts w:ascii="Arial" w:hAnsi="Arial" w:cs="Arial"/>
          <w:b/>
          <w:color w:val="000000"/>
          <w:sz w:val="24"/>
          <w:u w:val="single"/>
        </w:rPr>
      </w:pPr>
      <w:r w:rsidRPr="007C46D5">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w:t>
      </w:r>
      <w:proofErr w:type="gramStart"/>
      <w:r w:rsidRPr="007C46D5">
        <w:rPr>
          <w:rFonts w:ascii="Arial" w:hAnsi="Arial" w:cs="Arial" w:hint="eastAsia"/>
          <w:b/>
          <w:color w:val="000000"/>
          <w:sz w:val="24"/>
          <w:u w:val="single"/>
        </w:rPr>
        <w:t>您重点</w:t>
      </w:r>
      <w:proofErr w:type="gramEnd"/>
      <w:r w:rsidRPr="007C46D5">
        <w:rPr>
          <w:rFonts w:ascii="Arial" w:hAnsi="Arial" w:cs="Arial" w:hint="eastAsia"/>
          <w:b/>
          <w:color w:val="000000"/>
          <w:sz w:val="24"/>
          <w:u w:val="single"/>
        </w:rPr>
        <w:t>揭示产品的特有风险、特定安排、主要费用、您的重要权利、信息披露、冷静期和回访、投诉及争端解决方式等事项。</w:t>
      </w:r>
    </w:p>
    <w:p w:rsidR="00554F60" w:rsidRPr="007C46D5" w:rsidRDefault="00461A82" w:rsidP="00293057">
      <w:pPr>
        <w:spacing w:line="360" w:lineRule="auto"/>
        <w:ind w:firstLineChars="200" w:firstLine="480"/>
        <w:jc w:val="left"/>
        <w:rPr>
          <w:rFonts w:hAnsi="宋体"/>
          <w:color w:val="000000"/>
          <w:sz w:val="24"/>
        </w:rPr>
      </w:pPr>
      <w:r w:rsidRPr="007C46D5">
        <w:rPr>
          <w:rFonts w:hAnsi="宋体" w:hint="eastAsia"/>
          <w:color w:val="000000"/>
          <w:sz w:val="24"/>
        </w:rPr>
        <w:t>（一）</w:t>
      </w:r>
      <w:r w:rsidR="00407A50" w:rsidRPr="007C46D5">
        <w:rPr>
          <w:rFonts w:hAnsi="宋体" w:hint="eastAsia"/>
          <w:color w:val="000000"/>
          <w:sz w:val="24"/>
        </w:rPr>
        <w:t>本基金的特有风险</w:t>
      </w:r>
      <w:r w:rsidR="002A74B6" w:rsidRPr="007C46D5">
        <w:rPr>
          <w:rFonts w:hAnsi="宋体" w:hint="eastAsia"/>
          <w:color w:val="000000"/>
          <w:sz w:val="24"/>
        </w:rPr>
        <w:t>：</w:t>
      </w:r>
    </w:p>
    <w:p w:rsidR="000C1A94" w:rsidRDefault="005E5146" w:rsidP="000C1A94">
      <w:pPr>
        <w:spacing w:line="360" w:lineRule="auto"/>
        <w:ind w:firstLineChars="200" w:firstLine="482"/>
        <w:jc w:val="left"/>
        <w:rPr>
          <w:b/>
          <w:color w:val="000000"/>
          <w:sz w:val="24"/>
        </w:rPr>
      </w:pPr>
      <w:r>
        <w:rPr>
          <w:rFonts w:hint="eastAsia"/>
          <w:b/>
          <w:color w:val="000000"/>
          <w:sz w:val="24"/>
        </w:rPr>
        <w:t>本基金为混合型基金</w:t>
      </w:r>
      <w:r w:rsidR="000C1A94">
        <w:rPr>
          <w:rFonts w:hint="eastAsia"/>
          <w:b/>
          <w:color w:val="000000"/>
          <w:sz w:val="24"/>
        </w:rPr>
        <w:t>，</w:t>
      </w:r>
      <w:r w:rsidR="000C1A94" w:rsidRPr="00E957F9">
        <w:rPr>
          <w:rFonts w:hint="eastAsia"/>
          <w:b/>
          <w:color w:val="000000"/>
          <w:sz w:val="24"/>
        </w:rPr>
        <w:t>风险等级为</w:t>
      </w:r>
      <w:r w:rsidR="000C1A94">
        <w:rPr>
          <w:rFonts w:hint="eastAsia"/>
          <w:b/>
          <w:color w:val="000000"/>
          <w:sz w:val="24"/>
        </w:rPr>
        <w:t>R3</w:t>
      </w:r>
      <w:r w:rsidR="000C1A94" w:rsidRPr="00E957F9">
        <w:rPr>
          <w:rFonts w:hint="eastAsia"/>
          <w:b/>
          <w:color w:val="000000"/>
          <w:sz w:val="24"/>
        </w:rPr>
        <w:t>等级。</w:t>
      </w:r>
    </w:p>
    <w:p w:rsidR="00995B32" w:rsidRDefault="002B7825">
      <w:pPr>
        <w:spacing w:line="360" w:lineRule="auto"/>
        <w:ind w:firstLineChars="200" w:firstLine="480"/>
        <w:rPr>
          <w:rFonts w:hint="eastAsia"/>
          <w:color w:val="000000"/>
          <w:sz w:val="24"/>
        </w:rPr>
      </w:pPr>
      <w:r w:rsidRPr="002B7825">
        <w:rPr>
          <w:rFonts w:hint="eastAsia"/>
          <w:color w:val="000000"/>
          <w:sz w:val="24"/>
        </w:rPr>
        <w:t>1</w:t>
      </w:r>
      <w:r w:rsidRPr="002B7825">
        <w:rPr>
          <w:rFonts w:hint="eastAsia"/>
          <w:color w:val="000000"/>
          <w:sz w:val="24"/>
        </w:rPr>
        <w:t>、</w:t>
      </w:r>
      <w:r>
        <w:rPr>
          <w:rFonts w:hint="eastAsia"/>
          <w:color w:val="000000"/>
          <w:sz w:val="24"/>
        </w:rPr>
        <w:t>本基金投资于股票资产的比例</w:t>
      </w:r>
      <w:r w:rsidRPr="003842E8">
        <w:rPr>
          <w:rFonts w:hint="eastAsia"/>
          <w:color w:val="000000"/>
          <w:sz w:val="24"/>
        </w:rPr>
        <w:t>不低于</w:t>
      </w:r>
      <w:r>
        <w:rPr>
          <w:rFonts w:hint="eastAsia"/>
          <w:color w:val="000000"/>
          <w:sz w:val="24"/>
        </w:rPr>
        <w:t>5</w:t>
      </w:r>
      <w:r w:rsidRPr="003842E8">
        <w:rPr>
          <w:rFonts w:hint="eastAsia"/>
          <w:color w:val="000000"/>
          <w:sz w:val="24"/>
        </w:rPr>
        <w:t>0%</w:t>
      </w:r>
      <w:r w:rsidRPr="002B7825">
        <w:rPr>
          <w:rFonts w:hint="eastAsia"/>
          <w:color w:val="000000"/>
          <w:sz w:val="24"/>
        </w:rPr>
        <w:t>，市场可能下跌；</w:t>
      </w:r>
    </w:p>
    <w:p w:rsidR="00995B32" w:rsidRDefault="002B7825">
      <w:pPr>
        <w:spacing w:line="360" w:lineRule="auto"/>
        <w:ind w:firstLineChars="200" w:firstLine="480"/>
        <w:rPr>
          <w:rFonts w:hint="eastAsia"/>
          <w:color w:val="000000"/>
          <w:sz w:val="24"/>
        </w:rPr>
      </w:pPr>
      <w:r w:rsidRPr="002B7825">
        <w:rPr>
          <w:rFonts w:hint="eastAsia"/>
          <w:color w:val="000000"/>
          <w:sz w:val="24"/>
        </w:rPr>
        <w:t>2</w:t>
      </w:r>
      <w:r w:rsidRPr="002B7825">
        <w:rPr>
          <w:rFonts w:hint="eastAsia"/>
          <w:color w:val="000000"/>
          <w:sz w:val="24"/>
        </w:rPr>
        <w:t>、多种策略精选个股，与市场可能发生背离；</w:t>
      </w:r>
    </w:p>
    <w:p w:rsidR="00995B32" w:rsidRDefault="002B7825">
      <w:pPr>
        <w:spacing w:line="360" w:lineRule="auto"/>
        <w:ind w:firstLineChars="200" w:firstLine="480"/>
        <w:rPr>
          <w:rFonts w:hint="eastAsia"/>
          <w:color w:val="000000"/>
          <w:sz w:val="24"/>
        </w:rPr>
      </w:pPr>
      <w:r>
        <w:rPr>
          <w:rFonts w:hint="eastAsia"/>
          <w:color w:val="000000"/>
          <w:sz w:val="24"/>
        </w:rPr>
        <w:t>3</w:t>
      </w:r>
      <w:r w:rsidRPr="002B7825">
        <w:rPr>
          <w:rFonts w:hint="eastAsia"/>
          <w:color w:val="000000"/>
          <w:sz w:val="24"/>
        </w:rPr>
        <w:t>、基金经理主观判断可能存在偏差；</w:t>
      </w:r>
    </w:p>
    <w:p w:rsidR="00221AE7" w:rsidRDefault="002B7825">
      <w:pPr>
        <w:spacing w:line="360" w:lineRule="auto"/>
        <w:ind w:firstLineChars="200" w:firstLine="480"/>
        <w:rPr>
          <w:rFonts w:ascii="宋体" w:hAnsi="宋体" w:cs="宋体"/>
          <w:color w:val="000000"/>
          <w:sz w:val="24"/>
        </w:rPr>
      </w:pPr>
      <w:r>
        <w:rPr>
          <w:rFonts w:hint="eastAsia"/>
          <w:color w:val="000000"/>
          <w:sz w:val="24"/>
        </w:rPr>
        <w:t>4</w:t>
      </w:r>
      <w:r w:rsidRPr="002B7825">
        <w:rPr>
          <w:rFonts w:hint="eastAsia"/>
          <w:color w:val="000000"/>
          <w:sz w:val="24"/>
        </w:rPr>
        <w:t>、</w:t>
      </w:r>
      <w:r>
        <w:rPr>
          <w:rFonts w:ascii="宋体" w:hAnsi="宋体" w:cs="宋体" w:hint="eastAsia"/>
          <w:color w:val="000000"/>
          <w:sz w:val="24"/>
        </w:rPr>
        <w:t>本基金可上市交易，面临</w:t>
      </w:r>
      <w:r w:rsidRPr="002B7825">
        <w:rPr>
          <w:rFonts w:hint="eastAsia"/>
          <w:color w:val="000000"/>
          <w:sz w:val="24"/>
        </w:rPr>
        <w:t>二级市场交易价格与基金净值的折溢价风险</w:t>
      </w:r>
      <w:r w:rsidR="00995B32">
        <w:rPr>
          <w:rFonts w:hint="eastAsia"/>
          <w:color w:val="000000"/>
          <w:sz w:val="24"/>
        </w:rPr>
        <w:t>。</w:t>
      </w:r>
      <w:r w:rsidR="00221AE7">
        <w:rPr>
          <w:rFonts w:ascii="宋体" w:hAnsi="宋体" w:cs="宋体" w:hint="eastAsia"/>
          <w:color w:val="000000"/>
          <w:sz w:val="24"/>
        </w:rPr>
        <w:t>面临因信息披露导致基金停牌，</w:t>
      </w:r>
      <w:r w:rsidR="00E02F93">
        <w:rPr>
          <w:rFonts w:ascii="宋体" w:hAnsi="宋体" w:cs="宋体" w:hint="eastAsia"/>
          <w:color w:val="000000"/>
          <w:sz w:val="24"/>
        </w:rPr>
        <w:t>投资人</w:t>
      </w:r>
      <w:r w:rsidR="00221AE7">
        <w:rPr>
          <w:rFonts w:ascii="宋体" w:hAnsi="宋体" w:cs="宋体" w:hint="eastAsia"/>
          <w:color w:val="000000"/>
          <w:sz w:val="24"/>
        </w:rPr>
        <w:t>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r w:rsidR="00995B32">
        <w:rPr>
          <w:rFonts w:ascii="宋体" w:hAnsi="宋体" w:cs="宋体" w:hint="eastAsia"/>
          <w:color w:val="000000"/>
          <w:sz w:val="24"/>
        </w:rPr>
        <w:t>；</w:t>
      </w:r>
    </w:p>
    <w:p w:rsidR="00221AE7" w:rsidRDefault="0009264A" w:rsidP="00E02F93">
      <w:pPr>
        <w:spacing w:line="360" w:lineRule="auto"/>
        <w:ind w:firstLineChars="200" w:firstLine="480"/>
        <w:rPr>
          <w:rFonts w:ascii="宋体" w:hAnsi="宋体" w:cs="宋体"/>
          <w:color w:val="000000"/>
          <w:sz w:val="24"/>
        </w:rPr>
      </w:pPr>
      <w:r>
        <w:rPr>
          <w:rFonts w:ascii="宋体" w:hAnsi="宋体" w:cs="宋体" w:hint="eastAsia"/>
          <w:color w:val="000000"/>
          <w:sz w:val="24"/>
        </w:rPr>
        <w:t>5、</w:t>
      </w:r>
      <w:r w:rsidR="00221AE7">
        <w:rPr>
          <w:rFonts w:ascii="宋体" w:hAnsi="宋体" w:cs="宋体" w:hint="eastAsia"/>
          <w:color w:val="000000"/>
          <w:sz w:val="24"/>
        </w:rPr>
        <w:t>本基金可投资于资产支持证券，面临与基础资产相关的风险</w:t>
      </w:r>
      <w:r w:rsidR="00131D9E">
        <w:rPr>
          <w:rFonts w:ascii="宋体" w:hAnsi="宋体" w:cs="宋体" w:hint="eastAsia"/>
          <w:color w:val="000000"/>
          <w:sz w:val="24"/>
        </w:rPr>
        <w:t>，以及</w:t>
      </w:r>
      <w:r w:rsidR="00221AE7">
        <w:rPr>
          <w:rFonts w:ascii="宋体" w:hAnsi="宋体" w:cs="宋体" w:hint="eastAsia"/>
          <w:color w:val="000000"/>
          <w:sz w:val="24"/>
        </w:rPr>
        <w:t>资产支持证券相关的利率、流动性、评级等方面风险</w:t>
      </w:r>
      <w:r w:rsidR="00995B32">
        <w:rPr>
          <w:rFonts w:ascii="宋体" w:hAnsi="宋体" w:cs="宋体" w:hint="eastAsia"/>
          <w:color w:val="000000"/>
          <w:sz w:val="24"/>
        </w:rPr>
        <w:t>；</w:t>
      </w:r>
      <w:bookmarkStart w:id="0" w:name="_GoBack"/>
      <w:bookmarkEnd w:id="0"/>
    </w:p>
    <w:p w:rsidR="00221AE7" w:rsidRPr="001F7395" w:rsidRDefault="0009264A" w:rsidP="00E02F93">
      <w:pPr>
        <w:spacing w:line="360" w:lineRule="auto"/>
        <w:ind w:firstLineChars="200" w:firstLine="480"/>
        <w:rPr>
          <w:color w:val="000000"/>
          <w:sz w:val="24"/>
        </w:rPr>
      </w:pPr>
      <w:r>
        <w:rPr>
          <w:rFonts w:hint="eastAsia"/>
          <w:color w:val="000000"/>
          <w:sz w:val="24"/>
        </w:rPr>
        <w:t>6</w:t>
      </w:r>
      <w:r w:rsidR="002B7825">
        <w:rPr>
          <w:rFonts w:hint="eastAsia"/>
          <w:color w:val="000000"/>
          <w:sz w:val="24"/>
        </w:rPr>
        <w:t>、</w:t>
      </w:r>
      <w:r w:rsidR="00221AE7" w:rsidRPr="001F7395">
        <w:rPr>
          <w:rFonts w:hint="eastAsia"/>
          <w:color w:val="000000"/>
          <w:sz w:val="24"/>
        </w:rPr>
        <w:t>本基金可投资于股指期货，</w:t>
      </w:r>
      <w:r w:rsidR="00221AE7">
        <w:rPr>
          <w:rFonts w:hint="eastAsia"/>
          <w:color w:val="000000"/>
          <w:sz w:val="24"/>
        </w:rPr>
        <w:t>或</w:t>
      </w:r>
      <w:proofErr w:type="gramStart"/>
      <w:r w:rsidR="00221AE7">
        <w:rPr>
          <w:rFonts w:hint="eastAsia"/>
          <w:color w:val="000000"/>
          <w:sz w:val="24"/>
        </w:rPr>
        <w:t>面临</w:t>
      </w:r>
      <w:r w:rsidR="00221AE7" w:rsidRPr="001F7395">
        <w:rPr>
          <w:rFonts w:hint="eastAsia"/>
          <w:color w:val="000000"/>
          <w:sz w:val="24"/>
        </w:rPr>
        <w:t>基差风险</w:t>
      </w:r>
      <w:proofErr w:type="gramEnd"/>
      <w:r w:rsidR="00221AE7" w:rsidRPr="001F7395">
        <w:rPr>
          <w:rFonts w:hint="eastAsia"/>
          <w:color w:val="000000"/>
          <w:sz w:val="24"/>
        </w:rPr>
        <w:t>、系统性风险和杠杆风险。</w:t>
      </w:r>
    </w:p>
    <w:p w:rsidR="004E5820" w:rsidRPr="007C46D5" w:rsidRDefault="00461A82" w:rsidP="00962222">
      <w:pPr>
        <w:spacing w:line="360" w:lineRule="auto"/>
        <w:ind w:firstLineChars="200" w:firstLine="480"/>
        <w:rPr>
          <w:rFonts w:ascii="Arial" w:hAnsi="Arial" w:cs="Arial"/>
          <w:color w:val="000000"/>
          <w:sz w:val="24"/>
        </w:rPr>
      </w:pPr>
      <w:r w:rsidRPr="007C46D5">
        <w:rPr>
          <w:rFonts w:ascii="Arial" w:hAnsi="Arial" w:cs="Arial" w:hint="eastAsia"/>
          <w:color w:val="000000"/>
          <w:sz w:val="24"/>
        </w:rPr>
        <w:t>（二）</w:t>
      </w:r>
      <w:r w:rsidR="00B21931" w:rsidRPr="007C46D5">
        <w:rPr>
          <w:rFonts w:ascii="Arial" w:hAnsi="Arial" w:cs="Arial" w:hint="eastAsia"/>
          <w:color w:val="000000"/>
          <w:sz w:val="24"/>
        </w:rPr>
        <w:t>本基金可能因</w:t>
      </w:r>
      <w:r w:rsidR="00ED53EA" w:rsidRPr="007C46D5">
        <w:rPr>
          <w:rFonts w:ascii="Arial" w:hAnsi="Arial" w:cs="Arial" w:hint="eastAsia"/>
          <w:color w:val="000000"/>
          <w:sz w:val="24"/>
        </w:rPr>
        <w:t>政策变更、</w:t>
      </w:r>
      <w:r w:rsidR="002A74B6" w:rsidRPr="007C46D5">
        <w:rPr>
          <w:rFonts w:ascii="Arial" w:hAnsi="Arial" w:cs="Arial" w:hint="eastAsia"/>
          <w:color w:val="000000"/>
          <w:sz w:val="24"/>
        </w:rPr>
        <w:t>市场</w:t>
      </w:r>
      <w:r w:rsidR="00ED53EA" w:rsidRPr="007C46D5">
        <w:rPr>
          <w:rFonts w:ascii="Arial" w:hAnsi="Arial" w:cs="Arial" w:hint="eastAsia"/>
          <w:color w:val="000000"/>
          <w:sz w:val="24"/>
        </w:rPr>
        <w:t>下跌、投资与市场发</w:t>
      </w:r>
      <w:r w:rsidR="00735630" w:rsidRPr="007C46D5">
        <w:rPr>
          <w:rFonts w:ascii="Arial" w:hAnsi="Arial" w:cs="Arial" w:hint="eastAsia"/>
          <w:color w:val="000000"/>
          <w:sz w:val="24"/>
        </w:rPr>
        <w:t>生背离、</w:t>
      </w:r>
      <w:r w:rsidR="00B21931" w:rsidRPr="007C46D5">
        <w:rPr>
          <w:rFonts w:ascii="Arial" w:hAnsi="Arial" w:cs="Arial" w:hint="eastAsia"/>
          <w:color w:val="000000"/>
          <w:sz w:val="24"/>
        </w:rPr>
        <w:t>估值发生差错等原因发生本金亏损。</w:t>
      </w:r>
    </w:p>
    <w:p w:rsidR="004E5820" w:rsidRPr="007C46D5" w:rsidRDefault="00461A82" w:rsidP="00962222">
      <w:pPr>
        <w:spacing w:line="360" w:lineRule="auto"/>
        <w:ind w:firstLineChars="200" w:firstLine="480"/>
        <w:rPr>
          <w:rFonts w:ascii="Arial" w:hAnsi="Arial" w:cs="Arial"/>
          <w:color w:val="000000"/>
          <w:sz w:val="24"/>
        </w:rPr>
      </w:pPr>
      <w:r w:rsidRPr="007C46D5">
        <w:rPr>
          <w:rFonts w:ascii="Arial" w:hAnsi="Arial" w:cs="Arial" w:hint="eastAsia"/>
          <w:color w:val="000000"/>
          <w:sz w:val="24"/>
        </w:rPr>
        <w:t>（三）</w:t>
      </w:r>
      <w:r w:rsidR="00A15B11" w:rsidRPr="007C46D5">
        <w:rPr>
          <w:rFonts w:ascii="Arial" w:hAnsi="Arial" w:cs="Arial" w:hint="eastAsia"/>
          <w:color w:val="000000"/>
          <w:sz w:val="24"/>
        </w:rPr>
        <w:t>发</w:t>
      </w:r>
      <w:r w:rsidR="00B21931" w:rsidRPr="007C46D5">
        <w:rPr>
          <w:rFonts w:ascii="Arial" w:hAnsi="Arial" w:cs="Arial" w:hint="eastAsia"/>
          <w:color w:val="000000"/>
          <w:sz w:val="24"/>
        </w:rPr>
        <w:t>生巨额赎回的</w:t>
      </w:r>
      <w:r w:rsidR="00A15B11" w:rsidRPr="007C46D5">
        <w:rPr>
          <w:rFonts w:ascii="Arial" w:hAnsi="Arial" w:cs="Arial" w:hint="eastAsia"/>
          <w:color w:val="000000"/>
          <w:sz w:val="24"/>
        </w:rPr>
        <w:t>，</w:t>
      </w:r>
      <w:r w:rsidR="00B21931" w:rsidRPr="007C46D5">
        <w:rPr>
          <w:rFonts w:ascii="Arial" w:hAnsi="Arial" w:cs="Arial" w:hint="eastAsia"/>
          <w:color w:val="000000"/>
          <w:sz w:val="24"/>
        </w:rPr>
        <w:t>您的赎回申请可能</w:t>
      </w:r>
      <w:r w:rsidR="00BA5EA3" w:rsidRPr="007C46D5">
        <w:rPr>
          <w:rFonts w:ascii="Arial" w:hAnsi="Arial" w:cs="Arial" w:hint="eastAsia"/>
          <w:color w:val="000000"/>
          <w:sz w:val="24"/>
        </w:rPr>
        <w:t>不能全部确认</w:t>
      </w:r>
      <w:r w:rsidR="00A15B11" w:rsidRPr="007C46D5">
        <w:rPr>
          <w:rFonts w:ascii="Arial" w:hAnsi="Arial" w:cs="Arial" w:hint="eastAsia"/>
          <w:color w:val="000000"/>
          <w:sz w:val="24"/>
        </w:rPr>
        <w:t>。</w:t>
      </w:r>
      <w:r w:rsidR="0076291A" w:rsidRPr="007C46D5">
        <w:rPr>
          <w:color w:val="000000"/>
          <w:sz w:val="24"/>
        </w:rPr>
        <w:t>基金实施备用的流动性风险管理工具的</w:t>
      </w:r>
      <w:r w:rsidR="0076291A" w:rsidRPr="007C46D5">
        <w:rPr>
          <w:rFonts w:hint="eastAsia"/>
          <w:color w:val="000000"/>
          <w:sz w:val="24"/>
        </w:rPr>
        <w:t>，</w:t>
      </w:r>
      <w:r w:rsidR="0076291A" w:rsidRPr="007C46D5">
        <w:rPr>
          <w:color w:val="000000"/>
          <w:sz w:val="24"/>
        </w:rPr>
        <w:t>投资者的申购赎回申请、赎回款项支付等可能受到相应影响</w:t>
      </w:r>
      <w:r w:rsidR="0076291A" w:rsidRPr="007C46D5">
        <w:rPr>
          <w:rFonts w:hint="eastAsia"/>
          <w:color w:val="000000"/>
          <w:sz w:val="24"/>
        </w:rPr>
        <w:t>。</w:t>
      </w:r>
    </w:p>
    <w:p w:rsidR="004231EA" w:rsidRPr="007C46D5" w:rsidRDefault="00461A82" w:rsidP="00962222">
      <w:pPr>
        <w:spacing w:line="360" w:lineRule="auto"/>
        <w:ind w:firstLineChars="200" w:firstLine="480"/>
        <w:rPr>
          <w:rFonts w:ascii="Arial" w:hAnsi="Arial" w:cs="Arial"/>
          <w:b/>
          <w:color w:val="000000"/>
          <w:sz w:val="24"/>
        </w:rPr>
      </w:pPr>
      <w:r w:rsidRPr="007C46D5">
        <w:rPr>
          <w:rFonts w:ascii="Arial" w:hAnsi="Arial" w:cs="Arial" w:hint="eastAsia"/>
          <w:color w:val="000000"/>
          <w:sz w:val="24"/>
        </w:rPr>
        <w:t>（四）</w:t>
      </w:r>
      <w:r w:rsidR="00553655" w:rsidRPr="007C46D5">
        <w:rPr>
          <w:rFonts w:ascii="Arial" w:hAnsi="Arial" w:cs="Arial" w:hint="eastAsia"/>
          <w:color w:val="000000"/>
          <w:sz w:val="24"/>
        </w:rPr>
        <w:t>本基金</w:t>
      </w:r>
      <w:r w:rsidR="00B16C3B" w:rsidRPr="007C46D5">
        <w:rPr>
          <w:rFonts w:ascii="Arial" w:hAnsi="Arial" w:cs="Arial" w:hint="eastAsia"/>
          <w:color w:val="000000"/>
          <w:sz w:val="24"/>
        </w:rPr>
        <w:t>管理费，</w:t>
      </w:r>
      <w:r w:rsidR="003842E8">
        <w:rPr>
          <w:rFonts w:ascii="Arial" w:hAnsi="Arial" w:cs="Arial" w:hint="eastAsia"/>
          <w:color w:val="000000"/>
          <w:sz w:val="24"/>
        </w:rPr>
        <w:t>1.5</w:t>
      </w:r>
      <w:r w:rsidR="00B16C3B" w:rsidRPr="007C46D5">
        <w:rPr>
          <w:rFonts w:ascii="Arial" w:hAnsi="Arial" w:cs="Arial" w:hint="eastAsia"/>
          <w:color w:val="000000"/>
          <w:sz w:val="24"/>
        </w:rPr>
        <w:t>%/</w:t>
      </w:r>
      <w:r w:rsidR="00B16C3B" w:rsidRPr="007C46D5">
        <w:rPr>
          <w:rFonts w:ascii="Arial" w:hAnsi="Arial" w:cs="Arial" w:hint="eastAsia"/>
          <w:color w:val="000000"/>
          <w:sz w:val="24"/>
        </w:rPr>
        <w:t>年；托管费，</w:t>
      </w:r>
      <w:r w:rsidR="003842E8">
        <w:rPr>
          <w:rFonts w:ascii="Arial" w:hAnsi="Arial" w:cs="Arial" w:hint="eastAsia"/>
          <w:color w:val="000000"/>
          <w:sz w:val="24"/>
        </w:rPr>
        <w:t>0.25</w:t>
      </w:r>
      <w:r w:rsidR="00B16C3B" w:rsidRPr="007C46D5">
        <w:rPr>
          <w:rFonts w:ascii="Arial" w:hAnsi="Arial" w:cs="Arial" w:hint="eastAsia"/>
          <w:color w:val="000000"/>
          <w:sz w:val="24"/>
        </w:rPr>
        <w:t>%</w:t>
      </w:r>
      <w:r w:rsidR="00186CB1" w:rsidRPr="007C46D5">
        <w:rPr>
          <w:rFonts w:ascii="Arial" w:hAnsi="Arial" w:cs="Arial" w:hint="eastAsia"/>
          <w:color w:val="000000"/>
          <w:sz w:val="24"/>
        </w:rPr>
        <w:t>/</w:t>
      </w:r>
      <w:r w:rsidR="00B16C3B" w:rsidRPr="007C46D5">
        <w:rPr>
          <w:rFonts w:ascii="Arial" w:hAnsi="Arial" w:cs="Arial" w:hint="eastAsia"/>
          <w:color w:val="000000"/>
          <w:sz w:val="24"/>
        </w:rPr>
        <w:t>年</w:t>
      </w:r>
      <w:r w:rsidR="009B194C" w:rsidRPr="007C46D5">
        <w:rPr>
          <w:rFonts w:ascii="Arial" w:hAnsi="Arial" w:cs="Arial" w:hint="eastAsia"/>
          <w:color w:val="000000"/>
          <w:sz w:val="24"/>
        </w:rPr>
        <w:t>，</w:t>
      </w:r>
      <w:r w:rsidR="00393F62" w:rsidRPr="007C46D5">
        <w:rPr>
          <w:rFonts w:ascii="Arial" w:hAnsi="Arial" w:cs="Arial" w:hint="eastAsia"/>
          <w:color w:val="000000"/>
          <w:sz w:val="24"/>
        </w:rPr>
        <w:t>其它</w:t>
      </w:r>
      <w:r w:rsidR="009B194C" w:rsidRPr="007C46D5">
        <w:rPr>
          <w:rFonts w:ascii="Arial" w:hAnsi="Arial" w:cs="Arial" w:hint="eastAsia"/>
          <w:color w:val="000000"/>
          <w:sz w:val="24"/>
        </w:rPr>
        <w:t>详</w:t>
      </w:r>
      <w:r w:rsidR="00393F62" w:rsidRPr="007C46D5">
        <w:rPr>
          <w:rFonts w:ascii="Arial" w:hAnsi="Arial" w:cs="Arial" w:hint="eastAsia"/>
          <w:color w:val="000000"/>
          <w:sz w:val="24"/>
        </w:rPr>
        <w:t>见</w:t>
      </w:r>
      <w:r w:rsidR="009B194C" w:rsidRPr="007C46D5">
        <w:rPr>
          <w:rFonts w:ascii="Arial" w:hAnsi="Arial" w:cs="Arial" w:hint="eastAsia"/>
          <w:color w:val="000000"/>
          <w:sz w:val="24"/>
        </w:rPr>
        <w:t>招募说明书</w:t>
      </w:r>
      <w:r w:rsidR="00B16C3B" w:rsidRPr="007C46D5">
        <w:rPr>
          <w:rFonts w:ascii="Arial" w:hAnsi="Arial" w:cs="Arial" w:hint="eastAsia"/>
          <w:color w:val="000000"/>
          <w:sz w:val="24"/>
        </w:rPr>
        <w:t>。</w:t>
      </w:r>
    </w:p>
    <w:p w:rsidR="00CD6D99" w:rsidRDefault="00461A82" w:rsidP="00962222">
      <w:pPr>
        <w:spacing w:line="360" w:lineRule="auto"/>
        <w:ind w:firstLineChars="200" w:firstLine="480"/>
        <w:rPr>
          <w:bCs/>
          <w:sz w:val="24"/>
        </w:rPr>
      </w:pPr>
      <w:r w:rsidRPr="007C46D5">
        <w:rPr>
          <w:rFonts w:hint="eastAsia"/>
          <w:bCs/>
          <w:sz w:val="24"/>
        </w:rPr>
        <w:t>（五）</w:t>
      </w:r>
      <w:r w:rsidR="00393F62" w:rsidRPr="007C46D5">
        <w:rPr>
          <w:rFonts w:hint="eastAsia"/>
          <w:bCs/>
          <w:sz w:val="24"/>
        </w:rPr>
        <w:t>您享有如下权利</w:t>
      </w:r>
      <w:r w:rsidR="003B5476" w:rsidRPr="007C46D5">
        <w:rPr>
          <w:rFonts w:hint="eastAsia"/>
          <w:bCs/>
          <w:sz w:val="24"/>
        </w:rPr>
        <w:t>：</w:t>
      </w:r>
      <w:r w:rsidRPr="007C46D5">
        <w:rPr>
          <w:rFonts w:hint="eastAsia"/>
          <w:bCs/>
          <w:sz w:val="24"/>
        </w:rPr>
        <w:t>1</w:t>
      </w:r>
      <w:r w:rsidRPr="007C46D5">
        <w:rPr>
          <w:rFonts w:hint="eastAsia"/>
          <w:bCs/>
          <w:sz w:val="24"/>
        </w:rPr>
        <w:t>、</w:t>
      </w:r>
      <w:r w:rsidRPr="007C46D5">
        <w:rPr>
          <w:bCs/>
          <w:sz w:val="24"/>
        </w:rPr>
        <w:t>分享基金收益；</w:t>
      </w:r>
      <w:r w:rsidRPr="007C46D5">
        <w:rPr>
          <w:rFonts w:hint="eastAsia"/>
          <w:bCs/>
          <w:sz w:val="24"/>
        </w:rPr>
        <w:t>2</w:t>
      </w:r>
      <w:r w:rsidRPr="007C46D5">
        <w:rPr>
          <w:rFonts w:hint="eastAsia"/>
          <w:bCs/>
          <w:sz w:val="24"/>
        </w:rPr>
        <w:t>、</w:t>
      </w:r>
      <w:r w:rsidR="00186CB1" w:rsidRPr="007C46D5">
        <w:rPr>
          <w:bCs/>
          <w:sz w:val="24"/>
        </w:rPr>
        <w:t>参与</w:t>
      </w:r>
      <w:r w:rsidR="00CD6D99" w:rsidRPr="007C46D5">
        <w:rPr>
          <w:bCs/>
          <w:sz w:val="24"/>
        </w:rPr>
        <w:t>清算</w:t>
      </w:r>
      <w:r w:rsidR="00186CB1" w:rsidRPr="007C46D5">
        <w:rPr>
          <w:rFonts w:hint="eastAsia"/>
          <w:bCs/>
          <w:sz w:val="24"/>
        </w:rPr>
        <w:t>分配</w:t>
      </w:r>
      <w:r w:rsidR="00CD6D99" w:rsidRPr="007C46D5">
        <w:rPr>
          <w:bCs/>
          <w:sz w:val="24"/>
        </w:rPr>
        <w:t>；</w:t>
      </w:r>
      <w:bookmarkStart w:id="1" w:name="_Hlt88825574"/>
      <w:bookmarkEnd w:id="1"/>
      <w:r w:rsidRPr="007C46D5">
        <w:rPr>
          <w:rFonts w:hint="eastAsia"/>
          <w:bCs/>
          <w:sz w:val="24"/>
        </w:rPr>
        <w:t>3</w:t>
      </w:r>
      <w:r w:rsidRPr="007C46D5">
        <w:rPr>
          <w:rFonts w:hint="eastAsia"/>
          <w:bCs/>
          <w:sz w:val="24"/>
        </w:rPr>
        <w:t>、</w:t>
      </w:r>
      <w:proofErr w:type="gramStart"/>
      <w:r w:rsidRPr="007C46D5">
        <w:rPr>
          <w:bCs/>
          <w:sz w:val="24"/>
        </w:rPr>
        <w:t>申赎或</w:t>
      </w:r>
      <w:proofErr w:type="gramEnd"/>
      <w:r w:rsidR="00C97EDD">
        <w:rPr>
          <w:rFonts w:hint="eastAsia"/>
          <w:bCs/>
          <w:sz w:val="24"/>
        </w:rPr>
        <w:t>依法</w:t>
      </w:r>
      <w:r w:rsidRPr="007C46D5">
        <w:rPr>
          <w:bCs/>
          <w:sz w:val="24"/>
        </w:rPr>
        <w:t>转让基金份额；</w:t>
      </w:r>
      <w:r w:rsidRPr="007C46D5">
        <w:rPr>
          <w:rFonts w:hint="eastAsia"/>
          <w:bCs/>
          <w:sz w:val="24"/>
        </w:rPr>
        <w:t>4</w:t>
      </w:r>
      <w:r w:rsidRPr="007C46D5">
        <w:rPr>
          <w:rFonts w:hint="eastAsia"/>
          <w:bCs/>
          <w:sz w:val="24"/>
        </w:rPr>
        <w:t>、</w:t>
      </w:r>
      <w:r w:rsidR="00CD6D99" w:rsidRPr="007C46D5">
        <w:rPr>
          <w:bCs/>
          <w:sz w:val="24"/>
        </w:rPr>
        <w:t>召开或召集持有人大会</w:t>
      </w:r>
      <w:r w:rsidR="00186CB1" w:rsidRPr="007C46D5">
        <w:rPr>
          <w:rFonts w:hint="eastAsia"/>
          <w:bCs/>
          <w:sz w:val="24"/>
        </w:rPr>
        <w:t>，并</w:t>
      </w:r>
      <w:r w:rsidRPr="007C46D5">
        <w:rPr>
          <w:bCs/>
          <w:sz w:val="24"/>
        </w:rPr>
        <w:t>行使表决权；</w:t>
      </w:r>
      <w:r w:rsidRPr="007C46D5">
        <w:rPr>
          <w:rFonts w:hint="eastAsia"/>
          <w:bCs/>
          <w:sz w:val="24"/>
        </w:rPr>
        <w:t>5</w:t>
      </w:r>
      <w:r w:rsidRPr="007C46D5">
        <w:rPr>
          <w:rFonts w:hint="eastAsia"/>
          <w:bCs/>
          <w:sz w:val="24"/>
        </w:rPr>
        <w:t>、</w:t>
      </w:r>
      <w:r w:rsidR="00CD6D99" w:rsidRPr="007C46D5">
        <w:rPr>
          <w:bCs/>
          <w:sz w:val="24"/>
        </w:rPr>
        <w:t>查阅或</w:t>
      </w:r>
      <w:proofErr w:type="gramStart"/>
      <w:r w:rsidR="00CD6D99" w:rsidRPr="007C46D5">
        <w:rPr>
          <w:bCs/>
          <w:sz w:val="24"/>
        </w:rPr>
        <w:t>复制</w:t>
      </w:r>
      <w:r w:rsidR="00CD6D99" w:rsidRPr="007C46D5">
        <w:rPr>
          <w:rFonts w:hint="eastAsia"/>
          <w:bCs/>
          <w:sz w:val="24"/>
        </w:rPr>
        <w:t>信批</w:t>
      </w:r>
      <w:proofErr w:type="gramEnd"/>
      <w:r w:rsidR="00CD6D99" w:rsidRPr="007C46D5">
        <w:rPr>
          <w:rFonts w:hint="eastAsia"/>
          <w:bCs/>
          <w:sz w:val="24"/>
        </w:rPr>
        <w:t>资料</w:t>
      </w:r>
      <w:r w:rsidRPr="007C46D5">
        <w:rPr>
          <w:bCs/>
          <w:sz w:val="24"/>
        </w:rPr>
        <w:t>；</w:t>
      </w:r>
      <w:r w:rsidR="00186CB1" w:rsidRPr="007C46D5">
        <w:rPr>
          <w:rFonts w:hint="eastAsia"/>
          <w:bCs/>
          <w:sz w:val="24"/>
        </w:rPr>
        <w:t>6</w:t>
      </w:r>
      <w:r w:rsidRPr="007C46D5">
        <w:rPr>
          <w:rFonts w:hint="eastAsia"/>
          <w:bCs/>
          <w:sz w:val="24"/>
        </w:rPr>
        <w:t>、</w:t>
      </w:r>
      <w:r w:rsidRPr="007C46D5">
        <w:rPr>
          <w:bCs/>
          <w:sz w:val="24"/>
        </w:rPr>
        <w:t>监督管理人投资运作；</w:t>
      </w:r>
      <w:r w:rsidR="00186CB1" w:rsidRPr="007C46D5">
        <w:rPr>
          <w:rFonts w:hint="eastAsia"/>
          <w:bCs/>
          <w:sz w:val="24"/>
        </w:rPr>
        <w:t>7</w:t>
      </w:r>
      <w:r w:rsidRPr="007C46D5">
        <w:rPr>
          <w:rFonts w:hint="eastAsia"/>
          <w:bCs/>
          <w:sz w:val="24"/>
        </w:rPr>
        <w:t>、</w:t>
      </w:r>
      <w:r w:rsidRPr="007C46D5">
        <w:rPr>
          <w:bCs/>
          <w:sz w:val="24"/>
        </w:rPr>
        <w:t>依法提起诉讼或仲裁</w:t>
      </w:r>
      <w:r w:rsidR="00C97EDD">
        <w:rPr>
          <w:rFonts w:hint="eastAsia"/>
          <w:bCs/>
          <w:sz w:val="24"/>
        </w:rPr>
        <w:t>；</w:t>
      </w:r>
      <w:r w:rsidR="00C97EDD">
        <w:rPr>
          <w:rFonts w:hint="eastAsia"/>
          <w:bCs/>
          <w:sz w:val="24"/>
        </w:rPr>
        <w:t>8</w:t>
      </w:r>
      <w:r w:rsidR="00C97EDD">
        <w:rPr>
          <w:rFonts w:hint="eastAsia"/>
          <w:bCs/>
          <w:sz w:val="24"/>
        </w:rPr>
        <w:t>、法律法规和</w:t>
      </w:r>
      <w:r w:rsidR="00C97EDD">
        <w:rPr>
          <w:rFonts w:hint="eastAsia"/>
          <w:bCs/>
          <w:sz w:val="24"/>
        </w:rPr>
        <w:lastRenderedPageBreak/>
        <w:t>基金合同规定的其他</w:t>
      </w:r>
      <w:r w:rsidRPr="007C46D5">
        <w:rPr>
          <w:rFonts w:hint="eastAsia"/>
          <w:bCs/>
          <w:sz w:val="24"/>
        </w:rPr>
        <w:t>。</w:t>
      </w:r>
    </w:p>
    <w:p w:rsidR="00B1651D" w:rsidRPr="00962222" w:rsidRDefault="00B1651D" w:rsidP="00962222">
      <w:pPr>
        <w:spacing w:line="360" w:lineRule="auto"/>
        <w:ind w:firstLine="480"/>
        <w:rPr>
          <w:bCs/>
          <w:sz w:val="24"/>
        </w:rPr>
      </w:pPr>
      <w:r w:rsidRPr="00962222">
        <w:rPr>
          <w:bCs/>
          <w:sz w:val="24"/>
        </w:rPr>
        <w:t>（六）</w:t>
      </w:r>
      <w:r w:rsidR="00546E21" w:rsidRPr="00546E21">
        <w:rPr>
          <w:rFonts w:hint="eastAsia"/>
          <w:bCs/>
          <w:sz w:val="24"/>
        </w:rPr>
        <w:t>基金上市后，每</w:t>
      </w:r>
      <w:r w:rsidR="00546E21">
        <w:rPr>
          <w:rFonts w:hint="eastAsia"/>
          <w:bCs/>
          <w:sz w:val="24"/>
        </w:rPr>
        <w:t>个</w:t>
      </w:r>
      <w:r w:rsidR="00546E21" w:rsidRPr="00546E21">
        <w:rPr>
          <w:rFonts w:hint="eastAsia"/>
          <w:bCs/>
          <w:sz w:val="24"/>
        </w:rPr>
        <w:t>交易日次日披露基金份额净值、基金份额累计净值；</w:t>
      </w:r>
      <w:r w:rsidR="00546E21">
        <w:rPr>
          <w:rFonts w:hint="eastAsia"/>
          <w:bCs/>
          <w:sz w:val="24"/>
        </w:rPr>
        <w:t xml:space="preserve"> </w:t>
      </w:r>
      <w:r w:rsidRPr="00962222">
        <w:rPr>
          <w:bCs/>
          <w:sz w:val="24"/>
        </w:rPr>
        <w:t>上年末</w:t>
      </w:r>
      <w:r w:rsidR="00B23338">
        <w:rPr>
          <w:rFonts w:hint="eastAsia"/>
          <w:bCs/>
          <w:sz w:val="24"/>
        </w:rPr>
        <w:t>三个月</w:t>
      </w:r>
      <w:r w:rsidRPr="00962222">
        <w:rPr>
          <w:bCs/>
          <w:sz w:val="24"/>
        </w:rPr>
        <w:t>内，披露年报；上半年末</w:t>
      </w:r>
      <w:r w:rsidR="00962222" w:rsidRPr="00962222">
        <w:rPr>
          <w:rFonts w:hint="eastAsia"/>
          <w:bCs/>
          <w:sz w:val="24"/>
        </w:rPr>
        <w:t>两个月</w:t>
      </w:r>
      <w:r w:rsidRPr="00962222">
        <w:rPr>
          <w:bCs/>
          <w:sz w:val="24"/>
        </w:rPr>
        <w:t>内，披露半年报；上一季末</w:t>
      </w:r>
      <w:r w:rsidR="00962222" w:rsidRPr="00962222">
        <w:rPr>
          <w:rFonts w:hint="eastAsia"/>
          <w:bCs/>
          <w:sz w:val="24"/>
        </w:rPr>
        <w:t>十五个</w:t>
      </w:r>
      <w:r w:rsidRPr="00962222">
        <w:rPr>
          <w:bCs/>
          <w:sz w:val="24"/>
        </w:rPr>
        <w:t>工作日内，披露季报。您可以登陆公司网站（</w:t>
      </w:r>
      <w:r w:rsidRPr="00962222">
        <w:rPr>
          <w:bCs/>
          <w:sz w:val="24"/>
        </w:rPr>
        <w:t>www.ctfund.com</w:t>
      </w:r>
      <w:r w:rsidRPr="00962222">
        <w:rPr>
          <w:bCs/>
          <w:sz w:val="24"/>
        </w:rPr>
        <w:t>）</w:t>
      </w:r>
      <w:r w:rsidR="00802AE6">
        <w:rPr>
          <w:rFonts w:hint="eastAsia"/>
          <w:bCs/>
          <w:sz w:val="24"/>
        </w:rPr>
        <w:t>、上海证券交易所</w:t>
      </w:r>
      <w:r w:rsidRPr="0009264A">
        <w:rPr>
          <w:bCs/>
          <w:sz w:val="24"/>
        </w:rPr>
        <w:t>或</w:t>
      </w:r>
      <w:r w:rsidR="00962222" w:rsidRPr="0009264A">
        <w:rPr>
          <w:rFonts w:hint="eastAsia"/>
          <w:bCs/>
          <w:sz w:val="24"/>
        </w:rPr>
        <w:t>查阅《</w:t>
      </w:r>
      <w:r w:rsidR="0009264A" w:rsidRPr="0009264A">
        <w:rPr>
          <w:rFonts w:hAnsi="宋体"/>
          <w:color w:val="000000"/>
          <w:kern w:val="0"/>
          <w:sz w:val="24"/>
        </w:rPr>
        <w:t>中国证券报</w:t>
      </w:r>
      <w:r w:rsidR="00962222" w:rsidRPr="0009264A">
        <w:rPr>
          <w:rFonts w:hint="eastAsia"/>
          <w:bCs/>
          <w:sz w:val="24"/>
        </w:rPr>
        <w:t>》</w:t>
      </w:r>
      <w:r w:rsidR="00962222" w:rsidRPr="0074144F">
        <w:rPr>
          <w:rFonts w:hint="eastAsia"/>
          <w:bCs/>
          <w:sz w:val="24"/>
        </w:rPr>
        <w:t>查</w:t>
      </w:r>
      <w:r w:rsidR="00962222" w:rsidRPr="007C46D5">
        <w:rPr>
          <w:rFonts w:hint="eastAsia"/>
          <w:bCs/>
          <w:sz w:val="24"/>
        </w:rPr>
        <w:t>询有关信息和其它临时公告</w:t>
      </w:r>
      <w:r w:rsidRPr="00962222">
        <w:rPr>
          <w:bCs/>
          <w:sz w:val="24"/>
        </w:rPr>
        <w:t>查询有关信息和其它临时公告。</w:t>
      </w:r>
    </w:p>
    <w:p w:rsidR="000C1A94" w:rsidRPr="00FA7044" w:rsidRDefault="000C1A94" w:rsidP="000C1A94">
      <w:pPr>
        <w:spacing w:line="360" w:lineRule="auto"/>
        <w:ind w:firstLine="480"/>
        <w:jc w:val="left"/>
      </w:pPr>
      <w:r w:rsidRPr="00FA7044">
        <w:rPr>
          <w:rFonts w:hint="eastAsia"/>
          <w:bCs/>
          <w:sz w:val="24"/>
        </w:rPr>
        <w:t>（七）</w:t>
      </w:r>
      <w:r w:rsidRPr="00FA7044">
        <w:rPr>
          <w:rFonts w:ascii="宋体" w:hAnsi="宋体" w:hint="eastAsia"/>
          <w:sz w:val="24"/>
        </w:rPr>
        <w:t>自然人投资者通过柜台直销投资的，享有冷静期。普通投资者（机构）通过传真交易方式投资的，按照法规要求进行回访。</w:t>
      </w:r>
    </w:p>
    <w:p w:rsidR="000C1A94" w:rsidRPr="00FA7044" w:rsidRDefault="000C1A94" w:rsidP="000C1A94">
      <w:pPr>
        <w:spacing w:line="360" w:lineRule="auto"/>
        <w:ind w:firstLine="480"/>
        <w:jc w:val="left"/>
      </w:pPr>
      <w:r w:rsidRPr="00FA7044">
        <w:rPr>
          <w:rFonts w:ascii="宋体" w:hAnsi="宋体" w:hint="eastAsia"/>
          <w:sz w:val="24"/>
        </w:rPr>
        <w:t>您通过代销机构投资的，冷静期及回访制度将参照具体代销机构规则执行</w:t>
      </w:r>
      <w:r w:rsidRPr="00FA7044">
        <w:rPr>
          <w:rFonts w:hint="eastAsia"/>
          <w:bCs/>
          <w:sz w:val="24"/>
        </w:rPr>
        <w:t>。</w:t>
      </w:r>
    </w:p>
    <w:p w:rsidR="003B5476" w:rsidRPr="007C46D5" w:rsidRDefault="00461A82" w:rsidP="001F5C75">
      <w:pPr>
        <w:spacing w:line="360" w:lineRule="auto"/>
        <w:ind w:firstLineChars="200" w:firstLine="480"/>
        <w:jc w:val="left"/>
        <w:rPr>
          <w:rFonts w:ascii="Arial" w:hAnsi="Arial" w:cs="Arial"/>
          <w:b/>
          <w:color w:val="000000"/>
          <w:sz w:val="24"/>
        </w:rPr>
      </w:pPr>
      <w:r w:rsidRPr="007C46D5">
        <w:rPr>
          <w:rFonts w:hint="eastAsia"/>
          <w:bCs/>
          <w:sz w:val="24"/>
        </w:rPr>
        <w:t>（八）</w:t>
      </w:r>
      <w:r w:rsidR="001F5C75" w:rsidRPr="007C46D5">
        <w:rPr>
          <w:rFonts w:hint="eastAsia"/>
          <w:bCs/>
          <w:sz w:val="24"/>
        </w:rPr>
        <w:t>您</w:t>
      </w:r>
      <w:r w:rsidR="00570357" w:rsidRPr="007C46D5">
        <w:rPr>
          <w:rFonts w:hint="eastAsia"/>
          <w:bCs/>
          <w:sz w:val="24"/>
        </w:rPr>
        <w:t>可通过</w:t>
      </w:r>
      <w:r w:rsidR="001F5C75" w:rsidRPr="007C46D5">
        <w:rPr>
          <w:rFonts w:hint="eastAsia"/>
          <w:bCs/>
          <w:sz w:val="24"/>
        </w:rPr>
        <w:t>客服</w:t>
      </w:r>
      <w:r w:rsidR="00570357" w:rsidRPr="007C46D5">
        <w:rPr>
          <w:rFonts w:hAnsi="宋体"/>
          <w:color w:val="000000"/>
          <w:sz w:val="24"/>
          <w:szCs w:val="21"/>
        </w:rPr>
        <w:t>电话</w:t>
      </w:r>
      <w:r w:rsidR="007417E0" w:rsidRPr="007C46D5">
        <w:rPr>
          <w:rFonts w:hAnsi="宋体" w:hint="eastAsia"/>
          <w:color w:val="000000"/>
          <w:sz w:val="24"/>
          <w:szCs w:val="21"/>
        </w:rPr>
        <w:t>（</w:t>
      </w:r>
      <w:r w:rsidR="007417E0" w:rsidRPr="007C46D5">
        <w:rPr>
          <w:bCs/>
          <w:sz w:val="24"/>
        </w:rPr>
        <w:t>400-820-9888</w:t>
      </w:r>
      <w:r w:rsidR="007417E0" w:rsidRPr="007C46D5">
        <w:rPr>
          <w:rFonts w:hint="eastAsia"/>
          <w:bCs/>
          <w:sz w:val="24"/>
        </w:rPr>
        <w:t>）</w:t>
      </w:r>
      <w:r w:rsidR="00570357" w:rsidRPr="007C46D5">
        <w:rPr>
          <w:rFonts w:hAnsi="宋体" w:hint="eastAsia"/>
          <w:color w:val="000000"/>
          <w:sz w:val="24"/>
          <w:szCs w:val="21"/>
        </w:rPr>
        <w:t>或</w:t>
      </w:r>
      <w:r w:rsidR="00570357" w:rsidRPr="007C46D5">
        <w:rPr>
          <w:rFonts w:hAnsi="宋体"/>
          <w:color w:val="000000"/>
          <w:sz w:val="24"/>
          <w:szCs w:val="21"/>
        </w:rPr>
        <w:t>电子邮件</w:t>
      </w:r>
      <w:r w:rsidR="007417E0" w:rsidRPr="007C46D5">
        <w:rPr>
          <w:rFonts w:hAnsi="宋体" w:hint="eastAsia"/>
          <w:color w:val="000000"/>
          <w:sz w:val="24"/>
          <w:szCs w:val="21"/>
        </w:rPr>
        <w:t>（</w:t>
      </w:r>
      <w:hyperlink r:id="rId9" w:history="1">
        <w:r w:rsidR="007417E0" w:rsidRPr="007C46D5">
          <w:rPr>
            <w:rStyle w:val="aa"/>
            <w:rFonts w:hAnsi="宋体"/>
            <w:sz w:val="24"/>
            <w:szCs w:val="21"/>
          </w:rPr>
          <w:t>service@ctfund.com</w:t>
        </w:r>
      </w:hyperlink>
      <w:r w:rsidR="007417E0" w:rsidRPr="007C46D5">
        <w:rPr>
          <w:rFonts w:hAnsi="宋体" w:hint="eastAsia"/>
          <w:color w:val="000000"/>
          <w:sz w:val="24"/>
          <w:szCs w:val="21"/>
        </w:rPr>
        <w:t>）进行投诉；</w:t>
      </w:r>
      <w:hyperlink r:id="rId10" w:history="1">
        <w:r w:rsidR="001F5C75" w:rsidRPr="007C46D5">
          <w:rPr>
            <w:rFonts w:hint="eastAsia"/>
            <w:bCs/>
            <w:sz w:val="24"/>
          </w:rPr>
          <w:t>亦</w:t>
        </w:r>
      </w:hyperlink>
      <w:r w:rsidR="007417E0" w:rsidRPr="007C46D5">
        <w:rPr>
          <w:rFonts w:hint="eastAsia"/>
          <w:bCs/>
          <w:sz w:val="24"/>
        </w:rPr>
        <w:t>可向中</w:t>
      </w:r>
      <w:r w:rsidR="007417E0" w:rsidRPr="007C46D5">
        <w:rPr>
          <w:bCs/>
          <w:sz w:val="24"/>
        </w:rPr>
        <w:t>国国际经济贸易仲裁委员会</w:t>
      </w:r>
      <w:r w:rsidR="007417E0" w:rsidRPr="007C46D5">
        <w:rPr>
          <w:rFonts w:hint="eastAsia"/>
          <w:bCs/>
          <w:sz w:val="24"/>
        </w:rPr>
        <w:t>提起仲裁</w:t>
      </w:r>
      <w:r w:rsidR="00CD6D99" w:rsidRPr="007C46D5">
        <w:rPr>
          <w:rFonts w:hint="eastAsia"/>
          <w:bCs/>
          <w:sz w:val="24"/>
        </w:rPr>
        <w:t>。</w:t>
      </w:r>
    </w:p>
    <w:p w:rsidR="00D531A7" w:rsidRPr="007C46D5" w:rsidRDefault="006F6C5D" w:rsidP="00332CDE">
      <w:pPr>
        <w:spacing w:line="360" w:lineRule="auto"/>
        <w:ind w:firstLineChars="200" w:firstLine="482"/>
        <w:jc w:val="left"/>
        <w:rPr>
          <w:rFonts w:ascii="Arial" w:hAnsi="Arial" w:cs="Arial"/>
          <w:color w:val="000000"/>
          <w:sz w:val="24"/>
        </w:rPr>
      </w:pPr>
      <w:r w:rsidRPr="007C46D5">
        <w:rPr>
          <w:rFonts w:ascii="Arial" w:hAnsi="Arial" w:cs="Arial" w:hint="eastAsia"/>
          <w:b/>
          <w:color w:val="000000"/>
          <w:sz w:val="24"/>
          <w:u w:val="double"/>
        </w:rPr>
        <w:t>请投资者在投资前认真阅读</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w:t>
      </w:r>
      <w:r w:rsidRPr="007C46D5">
        <w:rPr>
          <w:rFonts w:ascii="Arial" w:hAnsi="Arial" w:cs="Arial" w:hint="eastAsia"/>
          <w:color w:val="000000"/>
          <w:sz w:val="24"/>
        </w:rPr>
        <w:t>，</w:t>
      </w:r>
      <w:r w:rsidRPr="007C46D5">
        <w:rPr>
          <w:rFonts w:ascii="Arial" w:hAnsi="Arial" w:cs="Arial" w:hint="eastAsia"/>
          <w:b/>
          <w:color w:val="000000"/>
          <w:sz w:val="24"/>
          <w:u w:val="double"/>
        </w:rPr>
        <w:t>并请在</w:t>
      </w:r>
      <w:proofErr w:type="gramStart"/>
      <w:r w:rsidRPr="007C46D5">
        <w:rPr>
          <w:rFonts w:ascii="Arial" w:hAnsi="Arial" w:cs="Arial" w:hint="eastAsia"/>
          <w:b/>
          <w:color w:val="000000"/>
          <w:sz w:val="24"/>
          <w:u w:val="double"/>
        </w:rPr>
        <w:t>本风险</w:t>
      </w:r>
      <w:proofErr w:type="gramEnd"/>
      <w:r w:rsidRPr="007C46D5">
        <w:rPr>
          <w:rFonts w:ascii="Arial" w:hAnsi="Arial" w:cs="Arial" w:hint="eastAsia"/>
          <w:b/>
          <w:color w:val="000000"/>
          <w:sz w:val="24"/>
          <w:u w:val="double"/>
        </w:rPr>
        <w:t>揭示书后签署确认</w:t>
      </w:r>
      <w:r w:rsidRPr="007C46D5">
        <w:rPr>
          <w:rFonts w:ascii="Arial" w:hAnsi="Arial" w:cs="Arial" w:hint="eastAsia"/>
          <w:color w:val="000000"/>
          <w:sz w:val="24"/>
        </w:rPr>
        <w:t>。</w:t>
      </w:r>
    </w:p>
    <w:p w:rsidR="001F5C75" w:rsidRPr="007C46D5" w:rsidRDefault="00995B32"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7C46D5">
        <w:rPr>
          <w:rFonts w:ascii="Arial" w:hAnsi="Arial" w:cs="Arial" w:hint="eastAsia"/>
          <w:color w:val="000000"/>
          <w:sz w:val="24"/>
        </w:rPr>
        <w:t>（以下无正文）</w:t>
      </w:r>
    </w:p>
    <w:p w:rsidR="00BE58EC" w:rsidRPr="007C46D5" w:rsidRDefault="00BE58EC" w:rsidP="001F5C75">
      <w:pPr>
        <w:spacing w:line="360" w:lineRule="auto"/>
        <w:ind w:firstLineChars="200" w:firstLine="480"/>
        <w:jc w:val="left"/>
        <w:outlineLvl w:val="0"/>
        <w:rPr>
          <w:color w:val="000000"/>
          <w:sz w:val="24"/>
          <w:u w:val="single"/>
        </w:rPr>
      </w:pPr>
    </w:p>
    <w:p w:rsidR="00BE58EC" w:rsidRPr="007C46D5" w:rsidRDefault="00BE58EC" w:rsidP="001F5C75">
      <w:pPr>
        <w:spacing w:line="360" w:lineRule="auto"/>
        <w:ind w:firstLineChars="200" w:firstLine="480"/>
        <w:jc w:val="left"/>
        <w:outlineLvl w:val="0"/>
        <w:rPr>
          <w:color w:val="000000"/>
          <w:sz w:val="24"/>
          <w:u w:val="single"/>
        </w:rPr>
      </w:pPr>
    </w:p>
    <w:p w:rsidR="006F6C5D" w:rsidRPr="007C46D5" w:rsidRDefault="006F6C5D" w:rsidP="001F5C75">
      <w:pPr>
        <w:spacing w:line="360" w:lineRule="auto"/>
        <w:ind w:firstLineChars="200" w:firstLine="480"/>
        <w:jc w:val="left"/>
        <w:outlineLvl w:val="0"/>
        <w:rPr>
          <w:color w:val="000000"/>
          <w:sz w:val="24"/>
          <w:u w:val="single"/>
        </w:rPr>
      </w:pPr>
      <w:r w:rsidRPr="007C46D5">
        <w:rPr>
          <w:rFonts w:hint="eastAsia"/>
          <w:color w:val="000000"/>
          <w:sz w:val="24"/>
          <w:u w:val="single"/>
        </w:rPr>
        <w:t>以上《风险揭示书》的各项内容，本人</w:t>
      </w:r>
      <w:r w:rsidRPr="007C46D5">
        <w:rPr>
          <w:color w:val="000000"/>
          <w:sz w:val="24"/>
          <w:u w:val="single"/>
        </w:rPr>
        <w:t>/</w:t>
      </w:r>
      <w:r w:rsidRPr="007C46D5">
        <w:rPr>
          <w:rFonts w:hint="eastAsia"/>
          <w:color w:val="000000"/>
          <w:sz w:val="24"/>
          <w:u w:val="single"/>
        </w:rPr>
        <w:t>单位已阅读并完全理解。</w:t>
      </w:r>
    </w:p>
    <w:p w:rsidR="00F01FFD" w:rsidRPr="007C46D5"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7C46D5">
        <w:rPr>
          <w:rFonts w:hint="eastAsia"/>
          <w:b/>
          <w:color w:val="000000" w:themeColor="text1"/>
          <w:sz w:val="24"/>
        </w:rPr>
        <w:t>抄录：以上《风险揭示书》的各项内容，本人</w:t>
      </w:r>
      <w:r w:rsidRPr="007C46D5">
        <w:rPr>
          <w:b/>
          <w:color w:val="000000" w:themeColor="text1"/>
          <w:sz w:val="24"/>
        </w:rPr>
        <w:t>/</w:t>
      </w:r>
      <w:r w:rsidRPr="007C46D5">
        <w:rPr>
          <w:rFonts w:hint="eastAsia"/>
          <w:b/>
          <w:color w:val="000000" w:themeColor="text1"/>
          <w:sz w:val="24"/>
        </w:rPr>
        <w:t>单位已</w:t>
      </w:r>
      <w:r w:rsidRPr="007C46D5">
        <w:rPr>
          <w:rFonts w:ascii="宋体" w:hAnsi="宋体" w:hint="eastAsia"/>
          <w:b/>
          <w:color w:val="000000" w:themeColor="text1"/>
          <w:sz w:val="28"/>
        </w:rPr>
        <w:t>□□</w:t>
      </w:r>
      <w:r w:rsidRPr="007C46D5">
        <w:rPr>
          <w:rFonts w:hint="eastAsia"/>
          <w:b/>
          <w:color w:val="000000" w:themeColor="text1"/>
          <w:sz w:val="24"/>
        </w:rPr>
        <w:t>并</w:t>
      </w:r>
      <w:r w:rsidRPr="007C46D5">
        <w:rPr>
          <w:rFonts w:ascii="宋体" w:hAnsi="宋体" w:hint="eastAsia"/>
          <w:b/>
          <w:color w:val="000000" w:themeColor="text1"/>
          <w:sz w:val="28"/>
        </w:rPr>
        <w:t>□□□□</w:t>
      </w:r>
      <w:r w:rsidRPr="007C46D5">
        <w:rPr>
          <w:rFonts w:hint="eastAsia"/>
          <w:b/>
          <w:color w:val="000000" w:themeColor="text1"/>
          <w:sz w:val="24"/>
        </w:rPr>
        <w:t>。</w:t>
      </w:r>
    </w:p>
    <w:p w:rsidR="00F01FFD" w:rsidRPr="007C46D5" w:rsidRDefault="00F01FFD" w:rsidP="00F01FFD">
      <w:pPr>
        <w:adjustRightInd w:val="0"/>
        <w:snapToGrid w:val="0"/>
        <w:spacing w:before="100" w:beforeAutospacing="1" w:after="100" w:afterAutospacing="1" w:line="560" w:lineRule="exact"/>
        <w:ind w:firstLine="480"/>
        <w:rPr>
          <w:color w:val="000000" w:themeColor="text1"/>
          <w:sz w:val="24"/>
        </w:rPr>
      </w:pPr>
      <w:r w:rsidRPr="007C46D5">
        <w:rPr>
          <w:rFonts w:hint="eastAsia"/>
          <w:color w:val="000000" w:themeColor="text1"/>
          <w:sz w:val="24"/>
        </w:rPr>
        <w:t>（</w:t>
      </w:r>
      <w:proofErr w:type="gramStart"/>
      <w:r w:rsidRPr="007C46D5">
        <w:rPr>
          <w:rFonts w:hint="eastAsia"/>
          <w:color w:val="000000" w:themeColor="text1"/>
          <w:sz w:val="24"/>
        </w:rPr>
        <w:t>请基金</w:t>
      </w:r>
      <w:proofErr w:type="gramEnd"/>
      <w:r w:rsidRPr="007C46D5">
        <w:rPr>
          <w:rFonts w:hint="eastAsia"/>
          <w:color w:val="000000" w:themeColor="text1"/>
          <w:sz w:val="24"/>
        </w:rPr>
        <w:t>投资人</w:t>
      </w:r>
      <w:r w:rsidRPr="007C46D5">
        <w:rPr>
          <w:color w:val="000000" w:themeColor="text1"/>
          <w:sz w:val="24"/>
        </w:rPr>
        <w:t>/</w:t>
      </w:r>
      <w:r w:rsidRPr="007C46D5">
        <w:rPr>
          <w:rFonts w:hint="eastAsia"/>
          <w:color w:val="000000" w:themeColor="text1"/>
          <w:sz w:val="24"/>
        </w:rPr>
        <w:t>被授权人认真阅读后抄录）</w:t>
      </w:r>
    </w:p>
    <w:p w:rsidR="006F6C5D" w:rsidRPr="007C46D5" w:rsidRDefault="006F6C5D" w:rsidP="006F6C5D">
      <w:pPr>
        <w:adjustRightInd w:val="0"/>
        <w:snapToGrid w:val="0"/>
        <w:spacing w:before="100" w:beforeAutospacing="1" w:after="100" w:afterAutospacing="1" w:line="560" w:lineRule="exact"/>
        <w:ind w:firstLine="480"/>
        <w:rPr>
          <w:rFonts w:ascii="宋体" w:hAnsi="宋体"/>
          <w:sz w:val="24"/>
        </w:rPr>
      </w:pPr>
      <w:r w:rsidRPr="007C46D5">
        <w:rPr>
          <w:rFonts w:hint="eastAsia"/>
          <w:color w:val="000000"/>
          <w:sz w:val="24"/>
        </w:rPr>
        <w:lastRenderedPageBreak/>
        <w:t>法人加盖公章</w:t>
      </w:r>
      <w:r w:rsidRPr="007C46D5">
        <w:rPr>
          <w:color w:val="000000"/>
          <w:sz w:val="24"/>
        </w:rPr>
        <w:t xml:space="preserve">                 </w:t>
      </w:r>
      <w:r w:rsidRPr="007C46D5">
        <w:rPr>
          <w:rFonts w:hint="eastAsia"/>
          <w:color w:val="000000"/>
          <w:sz w:val="24"/>
        </w:rPr>
        <w:t>自然人</w:t>
      </w:r>
      <w:r w:rsidRPr="007C46D5">
        <w:rPr>
          <w:color w:val="000000"/>
          <w:sz w:val="24"/>
        </w:rPr>
        <w:t>/</w:t>
      </w:r>
      <w:r w:rsidRPr="007C46D5">
        <w:rPr>
          <w:rFonts w:hint="eastAsia"/>
          <w:color w:val="000000"/>
          <w:sz w:val="24"/>
        </w:rPr>
        <w:t>法定代表人或被授权人签字</w:t>
      </w:r>
    </w:p>
    <w:p w:rsidR="00C20CF3" w:rsidRPr="006F6C5D" w:rsidRDefault="006F6C5D" w:rsidP="006F6C5D">
      <w:pPr>
        <w:spacing w:line="360" w:lineRule="auto"/>
        <w:rPr>
          <w:b/>
          <w:sz w:val="24"/>
        </w:rPr>
      </w:pPr>
      <w:r w:rsidRPr="007C46D5">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10" w:rsidRDefault="00223410" w:rsidP="006F6C5D">
      <w:r>
        <w:separator/>
      </w:r>
    </w:p>
  </w:endnote>
  <w:endnote w:type="continuationSeparator" w:id="0">
    <w:p w:rsidR="00223410" w:rsidRDefault="0022341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32501"/>
      <w:docPartObj>
        <w:docPartGallery w:val="Page Numbers (Bottom of Page)"/>
        <w:docPartUnique/>
      </w:docPartObj>
    </w:sdtPr>
    <w:sdtEndPr/>
    <w:sdtContent>
      <w:p w:rsidR="00735630" w:rsidRDefault="00133462">
        <w:pPr>
          <w:pStyle w:val="a4"/>
          <w:jc w:val="center"/>
        </w:pPr>
        <w:r>
          <w:fldChar w:fldCharType="begin"/>
        </w:r>
        <w:r w:rsidR="00D85077">
          <w:instrText xml:space="preserve"> PAGE   \* MERGEFORMAT </w:instrText>
        </w:r>
        <w:r>
          <w:fldChar w:fldCharType="separate"/>
        </w:r>
        <w:r w:rsidR="00995B32" w:rsidRPr="00995B32">
          <w:rPr>
            <w:noProof/>
            <w:lang w:val="zh-CN"/>
          </w:rPr>
          <w:t>2</w:t>
        </w:r>
        <w:r>
          <w:rPr>
            <w:noProof/>
            <w:lang w:val="zh-CN"/>
          </w:rPr>
          <w:fldChar w:fldCharType="end"/>
        </w:r>
      </w:p>
    </w:sdtContent>
  </w:sdt>
  <w:p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10" w:rsidRDefault="00223410" w:rsidP="006F6C5D">
      <w:r>
        <w:separator/>
      </w:r>
    </w:p>
  </w:footnote>
  <w:footnote w:type="continuationSeparator" w:id="0">
    <w:p w:rsidR="00223410" w:rsidRDefault="0022341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30" w:rsidRPr="00A07080" w:rsidRDefault="003842E8" w:rsidP="00A07080">
    <w:pPr>
      <w:pStyle w:val="a3"/>
    </w:pPr>
    <w:r>
      <w:rPr>
        <w:rFonts w:hint="eastAsia"/>
        <w:bCs/>
        <w:sz w:val="24"/>
      </w:rPr>
      <w:t>财通</w:t>
    </w:r>
    <w:r w:rsidR="00CA3F75">
      <w:rPr>
        <w:rFonts w:hint="eastAsia"/>
        <w:bCs/>
        <w:sz w:val="24"/>
      </w:rPr>
      <w:t>福盛多策略混合型发起式</w:t>
    </w:r>
    <w:r w:rsidRPr="003842E8">
      <w:rPr>
        <w:rFonts w:hint="eastAsia"/>
        <w:bCs/>
        <w:sz w:val="24"/>
      </w:rPr>
      <w:t>证券投资基金</w:t>
    </w:r>
    <w:r w:rsidR="00CA3F75">
      <w:rPr>
        <w:rFonts w:hint="eastAsia"/>
        <w:bCs/>
        <w:sz w:val="24"/>
      </w:rPr>
      <w:t>（</w:t>
    </w:r>
    <w:r w:rsidR="00CA3F75">
      <w:rPr>
        <w:rFonts w:hint="eastAsia"/>
        <w:bCs/>
        <w:sz w:val="24"/>
      </w:rPr>
      <w:t>LOF</w:t>
    </w:r>
    <w:r w:rsidR="00CA3F75">
      <w:rPr>
        <w:rFonts w:hint="eastAsia"/>
        <w:bCs/>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264A"/>
    <w:rsid w:val="00094D95"/>
    <w:rsid w:val="00094E9B"/>
    <w:rsid w:val="000A5D5B"/>
    <w:rsid w:val="000B732A"/>
    <w:rsid w:val="000C0462"/>
    <w:rsid w:val="000C1A94"/>
    <w:rsid w:val="000D56B8"/>
    <w:rsid w:val="000E3058"/>
    <w:rsid w:val="000E30CB"/>
    <w:rsid w:val="001016AF"/>
    <w:rsid w:val="00103FB0"/>
    <w:rsid w:val="00113338"/>
    <w:rsid w:val="00116AD4"/>
    <w:rsid w:val="0012578F"/>
    <w:rsid w:val="00130552"/>
    <w:rsid w:val="00130A2B"/>
    <w:rsid w:val="001316F8"/>
    <w:rsid w:val="00131D9E"/>
    <w:rsid w:val="0013217E"/>
    <w:rsid w:val="00133462"/>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3125"/>
    <w:rsid w:val="001C7BCE"/>
    <w:rsid w:val="001D673E"/>
    <w:rsid w:val="001E2F8B"/>
    <w:rsid w:val="001E6D34"/>
    <w:rsid w:val="001E6F3B"/>
    <w:rsid w:val="001F5C75"/>
    <w:rsid w:val="001F6286"/>
    <w:rsid w:val="001F7395"/>
    <w:rsid w:val="0020007D"/>
    <w:rsid w:val="00200398"/>
    <w:rsid w:val="002009DC"/>
    <w:rsid w:val="00203D01"/>
    <w:rsid w:val="0021353C"/>
    <w:rsid w:val="002205EE"/>
    <w:rsid w:val="00221050"/>
    <w:rsid w:val="00221AE7"/>
    <w:rsid w:val="00223410"/>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B7825"/>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13DF"/>
    <w:rsid w:val="00382FE7"/>
    <w:rsid w:val="003842E8"/>
    <w:rsid w:val="003909C2"/>
    <w:rsid w:val="00390B9D"/>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46E21"/>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146"/>
    <w:rsid w:val="005E5412"/>
    <w:rsid w:val="005E6E07"/>
    <w:rsid w:val="005F0A4C"/>
    <w:rsid w:val="005F7A05"/>
    <w:rsid w:val="00605F21"/>
    <w:rsid w:val="00617242"/>
    <w:rsid w:val="00624B74"/>
    <w:rsid w:val="006274DC"/>
    <w:rsid w:val="00631ABF"/>
    <w:rsid w:val="00642309"/>
    <w:rsid w:val="00654D2D"/>
    <w:rsid w:val="00654FFE"/>
    <w:rsid w:val="00660D04"/>
    <w:rsid w:val="00661EAB"/>
    <w:rsid w:val="006622F0"/>
    <w:rsid w:val="00665C7C"/>
    <w:rsid w:val="00674DE0"/>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0C45"/>
    <w:rsid w:val="007A50FE"/>
    <w:rsid w:val="007B0131"/>
    <w:rsid w:val="007B0BB4"/>
    <w:rsid w:val="007B1434"/>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2AE6"/>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2222"/>
    <w:rsid w:val="00966C3A"/>
    <w:rsid w:val="00967E51"/>
    <w:rsid w:val="00971C31"/>
    <w:rsid w:val="00973DE0"/>
    <w:rsid w:val="009741FE"/>
    <w:rsid w:val="00974DA6"/>
    <w:rsid w:val="00975B8E"/>
    <w:rsid w:val="00981434"/>
    <w:rsid w:val="009959BF"/>
    <w:rsid w:val="00995B32"/>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3981"/>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51D"/>
    <w:rsid w:val="00B16C3B"/>
    <w:rsid w:val="00B21931"/>
    <w:rsid w:val="00B21C08"/>
    <w:rsid w:val="00B23338"/>
    <w:rsid w:val="00B27BAA"/>
    <w:rsid w:val="00B3639E"/>
    <w:rsid w:val="00B36632"/>
    <w:rsid w:val="00B40D4D"/>
    <w:rsid w:val="00B42B46"/>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3F75"/>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55FFF"/>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2F93"/>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42133"/>
    <w:rsid w:val="00F44277"/>
    <w:rsid w:val="00F47962"/>
    <w:rsid w:val="00F560CF"/>
    <w:rsid w:val="00F57C25"/>
    <w:rsid w:val="00F60498"/>
    <w:rsid w:val="00F62B2C"/>
    <w:rsid w:val="00F66C7A"/>
    <w:rsid w:val="00F701FE"/>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customStyle="1" w:styleId="Default">
    <w:name w:val="Default"/>
    <w:rsid w:val="005E5146"/>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49614">
      <w:bodyDiv w:val="1"/>
      <w:marLeft w:val="0"/>
      <w:marRight w:val="0"/>
      <w:marTop w:val="0"/>
      <w:marBottom w:val="0"/>
      <w:divBdr>
        <w:top w:val="none" w:sz="0" w:space="0" w:color="auto"/>
        <w:left w:val="none" w:sz="0" w:space="0" w:color="auto"/>
        <w:bottom w:val="none" w:sz="0" w:space="0" w:color="auto"/>
        <w:right w:val="none" w:sz="0" w:space="0" w:color="auto"/>
      </w:divBdr>
      <w:divsChild>
        <w:div w:id="221987925">
          <w:marLeft w:val="0"/>
          <w:marRight w:val="0"/>
          <w:marTop w:val="0"/>
          <w:marBottom w:val="0"/>
          <w:divBdr>
            <w:top w:val="none" w:sz="0" w:space="0" w:color="auto"/>
            <w:left w:val="none" w:sz="0" w:space="0" w:color="auto"/>
            <w:bottom w:val="none" w:sz="0" w:space="0" w:color="auto"/>
            <w:right w:val="none" w:sz="0" w:space="0" w:color="auto"/>
          </w:divBdr>
          <w:divsChild>
            <w:div w:id="1304233871">
              <w:marLeft w:val="0"/>
              <w:marRight w:val="0"/>
              <w:marTop w:val="251"/>
              <w:marBottom w:val="335"/>
              <w:divBdr>
                <w:top w:val="none" w:sz="0" w:space="0" w:color="auto"/>
                <w:left w:val="none" w:sz="0" w:space="0" w:color="auto"/>
                <w:bottom w:val="none" w:sz="0" w:space="0" w:color="auto"/>
                <w:right w:val="none" w:sz="0" w:space="0" w:color="auto"/>
              </w:divBdr>
              <w:divsChild>
                <w:div w:id="393742679">
                  <w:marLeft w:val="0"/>
                  <w:marRight w:val="0"/>
                  <w:marTop w:val="0"/>
                  <w:marBottom w:val="0"/>
                  <w:divBdr>
                    <w:top w:val="none" w:sz="0" w:space="0" w:color="auto"/>
                    <w:left w:val="none" w:sz="0" w:space="0" w:color="auto"/>
                    <w:bottom w:val="none" w:sz="0" w:space="0" w:color="auto"/>
                    <w:right w:val="none" w:sz="0" w:space="0" w:color="auto"/>
                  </w:divBdr>
                  <w:divsChild>
                    <w:div w:id="18157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6965">
      <w:bodyDiv w:val="1"/>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0"/>
          <w:marRight w:val="0"/>
          <w:marTop w:val="0"/>
          <w:marBottom w:val="0"/>
          <w:divBdr>
            <w:top w:val="none" w:sz="0" w:space="0" w:color="auto"/>
            <w:left w:val="none" w:sz="0" w:space="0" w:color="auto"/>
            <w:bottom w:val="none" w:sz="0" w:space="0" w:color="auto"/>
            <w:right w:val="none" w:sz="0" w:space="0" w:color="auto"/>
          </w:divBdr>
          <w:divsChild>
            <w:div w:id="922954093">
              <w:marLeft w:val="0"/>
              <w:marRight w:val="0"/>
              <w:marTop w:val="251"/>
              <w:marBottom w:val="335"/>
              <w:divBdr>
                <w:top w:val="none" w:sz="0" w:space="0" w:color="auto"/>
                <w:left w:val="none" w:sz="0" w:space="0" w:color="auto"/>
                <w:bottom w:val="none" w:sz="0" w:space="0" w:color="auto"/>
                <w:right w:val="none" w:sz="0" w:space="0" w:color="auto"/>
              </w:divBdr>
              <w:divsChild>
                <w:div w:id="1894004848">
                  <w:marLeft w:val="0"/>
                  <w:marRight w:val="0"/>
                  <w:marTop w:val="0"/>
                  <w:marBottom w:val="0"/>
                  <w:divBdr>
                    <w:top w:val="none" w:sz="0" w:space="0" w:color="auto"/>
                    <w:left w:val="none" w:sz="0" w:space="0" w:color="auto"/>
                    <w:bottom w:val="none" w:sz="0" w:space="0" w:color="auto"/>
                    <w:right w:val="none" w:sz="0" w:space="0" w:color="auto"/>
                  </w:divBdr>
                  <w:divsChild>
                    <w:div w:id="15430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40741">
      <w:bodyDiv w:val="1"/>
      <w:marLeft w:val="0"/>
      <w:marRight w:val="0"/>
      <w:marTop w:val="0"/>
      <w:marBottom w:val="0"/>
      <w:divBdr>
        <w:top w:val="none" w:sz="0" w:space="0" w:color="auto"/>
        <w:left w:val="none" w:sz="0" w:space="0" w:color="auto"/>
        <w:bottom w:val="none" w:sz="0" w:space="0" w:color="auto"/>
        <w:right w:val="none" w:sz="0" w:space="0" w:color="auto"/>
      </w:divBdr>
      <w:divsChild>
        <w:div w:id="56100899">
          <w:marLeft w:val="0"/>
          <w:marRight w:val="0"/>
          <w:marTop w:val="0"/>
          <w:marBottom w:val="0"/>
          <w:divBdr>
            <w:top w:val="none" w:sz="0" w:space="0" w:color="auto"/>
            <w:left w:val="none" w:sz="0" w:space="0" w:color="auto"/>
            <w:bottom w:val="none" w:sz="0" w:space="0" w:color="auto"/>
            <w:right w:val="none" w:sz="0" w:space="0" w:color="auto"/>
          </w:divBdr>
          <w:divsChild>
            <w:div w:id="792333636">
              <w:marLeft w:val="0"/>
              <w:marRight w:val="0"/>
              <w:marTop w:val="251"/>
              <w:marBottom w:val="335"/>
              <w:divBdr>
                <w:top w:val="none" w:sz="0" w:space="0" w:color="auto"/>
                <w:left w:val="none" w:sz="0" w:space="0" w:color="auto"/>
                <w:bottom w:val="none" w:sz="0" w:space="0" w:color="auto"/>
                <w:right w:val="none" w:sz="0" w:space="0" w:color="auto"/>
              </w:divBdr>
              <w:divsChild>
                <w:div w:id="904070909">
                  <w:marLeft w:val="0"/>
                  <w:marRight w:val="0"/>
                  <w:marTop w:val="0"/>
                  <w:marBottom w:val="0"/>
                  <w:divBdr>
                    <w:top w:val="none" w:sz="0" w:space="0" w:color="auto"/>
                    <w:left w:val="none" w:sz="0" w:space="0" w:color="auto"/>
                    <w:bottom w:val="none" w:sz="0" w:space="0" w:color="auto"/>
                    <w:right w:val="none" w:sz="0" w:space="0" w:color="auto"/>
                  </w:divBdr>
                  <w:divsChild>
                    <w:div w:id="394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5409">
      <w:bodyDiv w:val="1"/>
      <w:marLeft w:val="0"/>
      <w:marRight w:val="0"/>
      <w:marTop w:val="0"/>
      <w:marBottom w:val="0"/>
      <w:divBdr>
        <w:top w:val="none" w:sz="0" w:space="0" w:color="auto"/>
        <w:left w:val="none" w:sz="0" w:space="0" w:color="auto"/>
        <w:bottom w:val="none" w:sz="0" w:space="0" w:color="auto"/>
        <w:right w:val="none" w:sz="0" w:space="0" w:color="auto"/>
      </w:divBdr>
      <w:divsChild>
        <w:div w:id="1673533036">
          <w:marLeft w:val="0"/>
          <w:marRight w:val="0"/>
          <w:marTop w:val="0"/>
          <w:marBottom w:val="0"/>
          <w:divBdr>
            <w:top w:val="none" w:sz="0" w:space="0" w:color="auto"/>
            <w:left w:val="none" w:sz="0" w:space="0" w:color="auto"/>
            <w:bottom w:val="none" w:sz="0" w:space="0" w:color="auto"/>
            <w:right w:val="none" w:sz="0" w:space="0" w:color="auto"/>
          </w:divBdr>
          <w:divsChild>
            <w:div w:id="1817837630">
              <w:marLeft w:val="0"/>
              <w:marRight w:val="0"/>
              <w:marTop w:val="251"/>
              <w:marBottom w:val="335"/>
              <w:divBdr>
                <w:top w:val="none" w:sz="0" w:space="0" w:color="auto"/>
                <w:left w:val="none" w:sz="0" w:space="0" w:color="auto"/>
                <w:bottom w:val="none" w:sz="0" w:space="0" w:color="auto"/>
                <w:right w:val="none" w:sz="0" w:space="0" w:color="auto"/>
              </w:divBdr>
              <w:divsChild>
                <w:div w:id="778572771">
                  <w:marLeft w:val="0"/>
                  <w:marRight w:val="0"/>
                  <w:marTop w:val="0"/>
                  <w:marBottom w:val="0"/>
                  <w:divBdr>
                    <w:top w:val="none" w:sz="0" w:space="0" w:color="auto"/>
                    <w:left w:val="none" w:sz="0" w:space="0" w:color="auto"/>
                    <w:bottom w:val="none" w:sz="0" w:space="0" w:color="auto"/>
                    <w:right w:val="none" w:sz="0" w:space="0" w:color="auto"/>
                  </w:divBdr>
                  <w:divsChild>
                    <w:div w:id="1061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microsoft.com/office/2007/relationships/stylesWithEffects" Target="stylesWithEffect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D785-97FB-4A8A-AEE4-08A782C3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黄天红</dc:creator>
  <cp:lastModifiedBy>包丹红</cp:lastModifiedBy>
  <cp:revision>3</cp:revision>
  <cp:lastPrinted>2017-06-19T05:57:00Z</cp:lastPrinted>
  <dcterms:created xsi:type="dcterms:W3CDTF">2019-11-05T01:51:00Z</dcterms:created>
  <dcterms:modified xsi:type="dcterms:W3CDTF">2019-11-05T02:17:00Z</dcterms:modified>
</cp:coreProperties>
</file>