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4F9" w:rsidRDefault="00A674F9">
      <w:pPr>
        <w:jc w:val="center"/>
        <w:rPr>
          <w:b/>
          <w:sz w:val="32"/>
        </w:rPr>
      </w:pPr>
      <w:bookmarkStart w:id="0" w:name="_Toc22454436"/>
      <w:bookmarkStart w:id="1" w:name="_Toc48703888"/>
      <w:bookmarkStart w:id="2" w:name="_Toc523829994"/>
      <w:bookmarkStart w:id="3" w:name="_Toc466788853"/>
      <w:bookmarkStart w:id="4" w:name="_Toc466788855"/>
      <w:bookmarkStart w:id="5" w:name="_Toc48703898"/>
      <w:bookmarkStart w:id="6" w:name="_Toc523829996"/>
      <w:bookmarkStart w:id="7" w:name="_Toc523829999"/>
      <w:bookmarkStart w:id="8" w:name="_Toc466788858"/>
      <w:bookmarkStart w:id="9" w:name="_Toc48703908"/>
      <w:bookmarkStart w:id="10" w:name="_Toc88373425"/>
    </w:p>
    <w:p w:rsidR="00A674F9" w:rsidRDefault="00A674F9">
      <w:pPr>
        <w:jc w:val="center"/>
        <w:rPr>
          <w:b/>
          <w:sz w:val="32"/>
        </w:rPr>
      </w:pPr>
    </w:p>
    <w:p w:rsidR="00A674F9" w:rsidRDefault="00CD789A">
      <w:pPr>
        <w:jc w:val="center"/>
        <w:rPr>
          <w:b/>
          <w:sz w:val="52"/>
          <w:szCs w:val="52"/>
        </w:rPr>
      </w:pPr>
      <w:r>
        <w:rPr>
          <w:rFonts w:hint="eastAsia"/>
          <w:b/>
          <w:sz w:val="52"/>
          <w:szCs w:val="52"/>
        </w:rPr>
        <w:t>财通基金管理有限公司</w:t>
      </w:r>
    </w:p>
    <w:p w:rsidR="00A674F9" w:rsidRDefault="00A674F9">
      <w:pPr>
        <w:jc w:val="center"/>
        <w:rPr>
          <w:b/>
          <w:sz w:val="32"/>
        </w:rPr>
      </w:pPr>
    </w:p>
    <w:p w:rsidR="00A674F9" w:rsidRDefault="00CD789A">
      <w:pPr>
        <w:jc w:val="center"/>
        <w:rPr>
          <w:b/>
          <w:sz w:val="52"/>
          <w:szCs w:val="52"/>
        </w:rPr>
      </w:pPr>
      <w:r>
        <w:rPr>
          <w:rFonts w:hint="eastAsia"/>
          <w:b/>
          <w:sz w:val="52"/>
          <w:szCs w:val="52"/>
        </w:rPr>
        <w:t>财通成长优选混合型证券投资基金托管协议</w:t>
      </w:r>
    </w:p>
    <w:p w:rsidR="00A674F9" w:rsidRDefault="00A674F9">
      <w:pPr>
        <w:jc w:val="center"/>
        <w:rPr>
          <w:rFonts w:ascii="黑体" w:eastAsia="黑体"/>
          <w:sz w:val="30"/>
          <w:szCs w:val="30"/>
        </w:rPr>
      </w:pPr>
    </w:p>
    <w:p w:rsidR="00A674F9" w:rsidRDefault="00A674F9">
      <w:pPr>
        <w:jc w:val="center"/>
        <w:rPr>
          <w:b/>
          <w:sz w:val="32"/>
        </w:rPr>
      </w:pPr>
    </w:p>
    <w:p w:rsidR="00A674F9" w:rsidRDefault="00A674F9">
      <w:pPr>
        <w:rPr>
          <w:rFonts w:ascii="宋体"/>
          <w:sz w:val="30"/>
        </w:rPr>
      </w:pPr>
    </w:p>
    <w:p w:rsidR="00A674F9" w:rsidRDefault="00A674F9">
      <w:pPr>
        <w:rPr>
          <w:rFonts w:ascii="宋体"/>
          <w:sz w:val="30"/>
        </w:rPr>
      </w:pPr>
    </w:p>
    <w:p w:rsidR="00A674F9" w:rsidRDefault="00A674F9">
      <w:pPr>
        <w:rPr>
          <w:rFonts w:ascii="宋体"/>
          <w:sz w:val="30"/>
        </w:rPr>
      </w:pPr>
    </w:p>
    <w:p w:rsidR="00A674F9" w:rsidRDefault="00A674F9">
      <w:pPr>
        <w:rPr>
          <w:rFonts w:ascii="宋体"/>
          <w:sz w:val="30"/>
        </w:rPr>
      </w:pPr>
    </w:p>
    <w:p w:rsidR="00A674F9" w:rsidRDefault="00A674F9">
      <w:pPr>
        <w:rPr>
          <w:rFonts w:ascii="宋体"/>
          <w:sz w:val="30"/>
        </w:rPr>
      </w:pPr>
    </w:p>
    <w:p w:rsidR="00A674F9" w:rsidRDefault="00A674F9">
      <w:pPr>
        <w:rPr>
          <w:rFonts w:ascii="宋体"/>
          <w:sz w:val="30"/>
        </w:rPr>
      </w:pPr>
    </w:p>
    <w:p w:rsidR="00A674F9" w:rsidRDefault="00CD789A">
      <w:pPr>
        <w:spacing w:line="360" w:lineRule="auto"/>
        <w:ind w:right="26" w:firstLine="420"/>
        <w:jc w:val="center"/>
        <w:outlineLvl w:val="0"/>
        <w:rPr>
          <w:rFonts w:ascii="黑体" w:eastAsia="黑体" w:hAnsi="宋体"/>
          <w:b/>
          <w:sz w:val="28"/>
          <w:szCs w:val="28"/>
        </w:rPr>
      </w:pPr>
      <w:bookmarkStart w:id="11" w:name="_Toc140002332"/>
      <w:bookmarkStart w:id="12" w:name="_Toc125361069"/>
      <w:r>
        <w:rPr>
          <w:rFonts w:ascii="黑体" w:eastAsia="黑体" w:hAnsi="宋体" w:hint="eastAsia"/>
          <w:b/>
          <w:sz w:val="28"/>
          <w:szCs w:val="28"/>
        </w:rPr>
        <w:t>基金管理人：</w:t>
      </w:r>
      <w:bookmarkEnd w:id="11"/>
      <w:bookmarkEnd w:id="12"/>
      <w:r>
        <w:rPr>
          <w:rFonts w:ascii="黑体" w:eastAsia="黑体" w:hAnsi="宋体" w:hint="eastAsia"/>
          <w:b/>
          <w:sz w:val="28"/>
          <w:szCs w:val="28"/>
        </w:rPr>
        <w:t>财通基金管理有限公司</w:t>
      </w:r>
    </w:p>
    <w:p w:rsidR="00A674F9" w:rsidRDefault="00CD789A">
      <w:pPr>
        <w:spacing w:line="360" w:lineRule="auto"/>
        <w:ind w:left="1800" w:right="26"/>
        <w:outlineLvl w:val="0"/>
        <w:rPr>
          <w:rFonts w:ascii="黑体" w:eastAsia="黑体" w:hAnsi="宋体"/>
          <w:b/>
          <w:sz w:val="28"/>
          <w:szCs w:val="28"/>
        </w:rPr>
      </w:pPr>
      <w:bookmarkStart w:id="13" w:name="_Toc125361070"/>
      <w:bookmarkStart w:id="14" w:name="_Toc140002333"/>
      <w:r>
        <w:rPr>
          <w:rFonts w:ascii="黑体" w:eastAsia="黑体" w:hAnsi="宋体" w:hint="eastAsia"/>
          <w:b/>
          <w:sz w:val="28"/>
          <w:szCs w:val="28"/>
        </w:rPr>
        <w:t>基金托管人：中国工商银行股份有限公司</w:t>
      </w:r>
      <w:bookmarkEnd w:id="13"/>
      <w:bookmarkEnd w:id="14"/>
    </w:p>
    <w:p w:rsidR="00A674F9" w:rsidRDefault="00A674F9" w:rsidP="00CA205C">
      <w:pPr>
        <w:spacing w:line="500" w:lineRule="atLeast"/>
        <w:ind w:left="2698" w:hangingChars="896" w:hanging="2698"/>
        <w:jc w:val="center"/>
        <w:outlineLvl w:val="0"/>
        <w:rPr>
          <w:rFonts w:ascii="宋体" w:hAnsi="宋体"/>
          <w:b/>
          <w:sz w:val="30"/>
          <w:szCs w:val="30"/>
        </w:rPr>
      </w:pPr>
    </w:p>
    <w:p w:rsidR="00A674F9" w:rsidRDefault="00A674F9">
      <w:pPr>
        <w:spacing w:line="500" w:lineRule="atLeast"/>
        <w:ind w:left="2519" w:hangingChars="896" w:hanging="2519"/>
        <w:jc w:val="center"/>
        <w:outlineLvl w:val="0"/>
        <w:rPr>
          <w:rFonts w:ascii="黑体" w:eastAsia="黑体" w:hAnsi="宋体"/>
          <w:b/>
          <w:sz w:val="28"/>
          <w:szCs w:val="28"/>
        </w:rPr>
      </w:pPr>
    </w:p>
    <w:p w:rsidR="00A674F9" w:rsidRDefault="00CD789A">
      <w:pPr>
        <w:spacing w:line="500" w:lineRule="atLeast"/>
        <w:jc w:val="center"/>
        <w:outlineLvl w:val="0"/>
        <w:rPr>
          <w:rFonts w:ascii="黑体" w:eastAsia="黑体" w:hAnsi="宋体"/>
          <w:b/>
          <w:sz w:val="30"/>
          <w:szCs w:val="30"/>
        </w:rPr>
      </w:pPr>
      <w:r>
        <w:rPr>
          <w:rFonts w:ascii="黑体" w:eastAsia="黑体" w:hAnsi="宋体"/>
          <w:b/>
          <w:sz w:val="28"/>
          <w:szCs w:val="28"/>
        </w:rPr>
        <w:br w:type="page"/>
      </w:r>
      <w:bookmarkStart w:id="15" w:name="_Toc125361072"/>
      <w:bookmarkStart w:id="16" w:name="_Toc140002335"/>
      <w:r>
        <w:rPr>
          <w:rFonts w:ascii="黑体" w:eastAsia="黑体" w:hAnsi="宋体" w:hint="eastAsia"/>
          <w:b/>
          <w:sz w:val="30"/>
          <w:szCs w:val="30"/>
        </w:rPr>
        <w:lastRenderedPageBreak/>
        <w:t>目</w:t>
      </w:r>
      <w:r>
        <w:rPr>
          <w:rFonts w:ascii="黑体" w:eastAsia="黑体" w:hAnsi="宋体" w:hint="eastAsia"/>
          <w:b/>
          <w:sz w:val="30"/>
          <w:szCs w:val="30"/>
        </w:rPr>
        <w:t xml:space="preserve">  </w:t>
      </w:r>
      <w:r>
        <w:rPr>
          <w:rFonts w:ascii="黑体" w:eastAsia="黑体" w:hAnsi="宋体" w:hint="eastAsia"/>
          <w:b/>
          <w:sz w:val="30"/>
          <w:szCs w:val="30"/>
        </w:rPr>
        <w:t>录</w:t>
      </w:r>
      <w:bookmarkEnd w:id="15"/>
      <w:bookmarkEnd w:id="16"/>
    </w:p>
    <w:p w:rsidR="00A674F9" w:rsidRDefault="00A674F9">
      <w:pPr>
        <w:spacing w:line="500" w:lineRule="atLeast"/>
        <w:outlineLvl w:val="0"/>
        <w:rPr>
          <w:rFonts w:ascii="宋体" w:hAnsi="宋体"/>
          <w:sz w:val="24"/>
        </w:rPr>
      </w:pPr>
    </w:p>
    <w:p w:rsidR="00A674F9" w:rsidRDefault="00A674F9">
      <w:pPr>
        <w:pStyle w:val="10"/>
        <w:tabs>
          <w:tab w:val="right" w:pos="8296"/>
        </w:tabs>
        <w:adjustRightInd w:val="0"/>
        <w:spacing w:before="100" w:beforeAutospacing="1" w:after="100" w:afterAutospacing="1"/>
        <w:rPr>
          <w:rFonts w:ascii="Times New Roman" w:hAnsi="Times New Roman" w:cs="Times New Roman"/>
          <w:b w:val="0"/>
          <w:bCs w:val="0"/>
          <w:caps w:val="0"/>
          <w:sz w:val="21"/>
        </w:rPr>
      </w:pPr>
      <w:r w:rsidRPr="00A674F9">
        <w:fldChar w:fldCharType="begin"/>
      </w:r>
      <w:r w:rsidR="00CD789A">
        <w:instrText xml:space="preserve"> </w:instrText>
      </w:r>
      <w:r w:rsidR="00CD789A">
        <w:rPr>
          <w:rFonts w:hint="eastAsia"/>
        </w:rPr>
        <w:instrText>TOC \o "1-1" \h \z \u</w:instrText>
      </w:r>
      <w:r w:rsidR="00CD789A">
        <w:instrText xml:space="preserve"> </w:instrText>
      </w:r>
      <w:r w:rsidRPr="00A674F9">
        <w:fldChar w:fldCharType="separate"/>
      </w:r>
      <w:hyperlink w:anchor="_Toc140002336" w:history="1">
        <w:r w:rsidR="00CD789A">
          <w:rPr>
            <w:rStyle w:val="ad"/>
            <w:rFonts w:ascii="宋体" w:hAnsi="宋体" w:hint="eastAsia"/>
            <w:color w:val="auto"/>
          </w:rPr>
          <w:t>一、</w:t>
        </w:r>
        <w:r w:rsidR="00CD789A">
          <w:rPr>
            <w:rStyle w:val="ad"/>
            <w:rFonts w:ascii="宋体" w:hAnsi="宋体" w:hint="eastAsia"/>
            <w:color w:val="auto"/>
          </w:rPr>
          <w:t xml:space="preserve"> </w:t>
        </w:r>
        <w:r w:rsidR="00CD789A">
          <w:rPr>
            <w:rStyle w:val="ad"/>
            <w:rFonts w:ascii="宋体" w:hAnsi="宋体" w:hint="eastAsia"/>
            <w:color w:val="auto"/>
          </w:rPr>
          <w:t>基金托管协议当事人</w:t>
        </w:r>
        <w:r w:rsidR="00CD789A">
          <w:tab/>
        </w:r>
        <w:r>
          <w:fldChar w:fldCharType="begin"/>
        </w:r>
        <w:r w:rsidR="00CD789A">
          <w:instrText xml:space="preserve"> PAGEREF _Toc140002336 \h </w:instrText>
        </w:r>
        <w:r>
          <w:fldChar w:fldCharType="separate"/>
        </w:r>
        <w:r w:rsidR="00CD789A">
          <w:t>1</w:t>
        </w:r>
        <w:r>
          <w:fldChar w:fldCharType="end"/>
        </w:r>
      </w:hyperlink>
    </w:p>
    <w:p w:rsidR="00A674F9" w:rsidRDefault="00A674F9">
      <w:pPr>
        <w:pStyle w:val="10"/>
        <w:tabs>
          <w:tab w:val="right" w:pos="8296"/>
        </w:tabs>
        <w:adjustRightInd w:val="0"/>
        <w:spacing w:before="100" w:beforeAutospacing="1" w:after="100" w:afterAutospacing="1"/>
        <w:rPr>
          <w:rFonts w:ascii="Times New Roman" w:hAnsi="Times New Roman" w:cs="Times New Roman"/>
          <w:b w:val="0"/>
          <w:bCs w:val="0"/>
          <w:caps w:val="0"/>
          <w:sz w:val="21"/>
        </w:rPr>
      </w:pPr>
      <w:hyperlink w:anchor="_Toc140002337" w:history="1">
        <w:r w:rsidR="00CD789A">
          <w:rPr>
            <w:rStyle w:val="ad"/>
            <w:rFonts w:ascii="宋体" w:hAnsi="宋体" w:hint="eastAsia"/>
            <w:color w:val="auto"/>
          </w:rPr>
          <w:t>二、</w:t>
        </w:r>
        <w:r w:rsidR="00CD789A">
          <w:rPr>
            <w:rStyle w:val="ad"/>
            <w:rFonts w:ascii="宋体" w:hAnsi="宋体" w:hint="eastAsia"/>
            <w:color w:val="auto"/>
          </w:rPr>
          <w:t xml:space="preserve"> </w:t>
        </w:r>
        <w:r w:rsidR="00CD789A">
          <w:rPr>
            <w:rStyle w:val="ad"/>
            <w:rFonts w:ascii="宋体" w:hAnsi="宋体" w:hint="eastAsia"/>
            <w:color w:val="auto"/>
          </w:rPr>
          <w:t>基金托管协议的依据、目的和原则</w:t>
        </w:r>
        <w:r w:rsidR="00CD789A">
          <w:tab/>
        </w:r>
        <w:r>
          <w:fldChar w:fldCharType="begin"/>
        </w:r>
        <w:r w:rsidR="00CD789A">
          <w:instrText xml:space="preserve"> PAGEREF _Toc140002337 \h </w:instrText>
        </w:r>
        <w:r>
          <w:fldChar w:fldCharType="separate"/>
        </w:r>
        <w:r w:rsidR="00CD789A">
          <w:t>2</w:t>
        </w:r>
        <w:r>
          <w:fldChar w:fldCharType="end"/>
        </w:r>
      </w:hyperlink>
    </w:p>
    <w:p w:rsidR="00A674F9" w:rsidRDefault="00A674F9">
      <w:pPr>
        <w:pStyle w:val="10"/>
        <w:tabs>
          <w:tab w:val="right" w:pos="8296"/>
        </w:tabs>
        <w:adjustRightInd w:val="0"/>
        <w:spacing w:before="100" w:beforeAutospacing="1" w:after="100" w:afterAutospacing="1"/>
        <w:rPr>
          <w:rFonts w:ascii="Times New Roman" w:hAnsi="Times New Roman" w:cs="Times New Roman"/>
          <w:b w:val="0"/>
          <w:bCs w:val="0"/>
          <w:caps w:val="0"/>
          <w:sz w:val="21"/>
        </w:rPr>
      </w:pPr>
      <w:hyperlink w:anchor="_Toc140002338" w:history="1">
        <w:r w:rsidR="00CD789A">
          <w:rPr>
            <w:rStyle w:val="ad"/>
            <w:rFonts w:ascii="宋体" w:hAnsi="宋体" w:hint="eastAsia"/>
            <w:color w:val="auto"/>
          </w:rPr>
          <w:t>三、</w:t>
        </w:r>
        <w:r w:rsidR="00CD789A">
          <w:rPr>
            <w:rStyle w:val="ad"/>
            <w:rFonts w:ascii="宋体" w:hAnsi="宋体" w:hint="eastAsia"/>
            <w:color w:val="auto"/>
          </w:rPr>
          <w:t xml:space="preserve"> </w:t>
        </w:r>
        <w:r w:rsidR="00CD789A">
          <w:rPr>
            <w:rStyle w:val="ad"/>
            <w:rFonts w:ascii="宋体" w:hAnsi="宋体" w:hint="eastAsia"/>
            <w:color w:val="auto"/>
          </w:rPr>
          <w:t>基金托管人对基金管理人的业务监督和核查</w:t>
        </w:r>
        <w:r w:rsidR="00CD789A">
          <w:tab/>
        </w:r>
        <w:r>
          <w:fldChar w:fldCharType="begin"/>
        </w:r>
        <w:r w:rsidR="00CD789A">
          <w:instrText xml:space="preserve"> PAGEREF _Toc140002338 \h </w:instrText>
        </w:r>
        <w:r>
          <w:fldChar w:fldCharType="separate"/>
        </w:r>
        <w:r w:rsidR="00CD789A">
          <w:t>3</w:t>
        </w:r>
        <w:r>
          <w:fldChar w:fldCharType="end"/>
        </w:r>
      </w:hyperlink>
    </w:p>
    <w:p w:rsidR="00A674F9" w:rsidRDefault="00A674F9">
      <w:pPr>
        <w:pStyle w:val="10"/>
        <w:tabs>
          <w:tab w:val="right" w:pos="8296"/>
        </w:tabs>
        <w:adjustRightInd w:val="0"/>
        <w:spacing w:before="100" w:beforeAutospacing="1" w:after="100" w:afterAutospacing="1"/>
        <w:rPr>
          <w:rFonts w:ascii="Times New Roman" w:hAnsi="Times New Roman" w:cs="Times New Roman"/>
          <w:b w:val="0"/>
          <w:bCs w:val="0"/>
          <w:caps w:val="0"/>
          <w:sz w:val="21"/>
        </w:rPr>
      </w:pPr>
      <w:hyperlink w:anchor="_Toc140002339" w:history="1">
        <w:r w:rsidR="00CD789A">
          <w:rPr>
            <w:rStyle w:val="ad"/>
            <w:rFonts w:ascii="宋体" w:hAnsi="宋体" w:hint="eastAsia"/>
            <w:color w:val="auto"/>
          </w:rPr>
          <w:t>四、</w:t>
        </w:r>
        <w:r w:rsidR="00CD789A">
          <w:rPr>
            <w:rStyle w:val="ad"/>
            <w:rFonts w:ascii="宋体" w:hAnsi="宋体" w:hint="eastAsia"/>
            <w:color w:val="auto"/>
          </w:rPr>
          <w:t xml:space="preserve"> </w:t>
        </w:r>
        <w:r w:rsidR="00CD789A">
          <w:rPr>
            <w:rStyle w:val="ad"/>
            <w:rFonts w:ascii="宋体" w:hAnsi="宋体" w:hint="eastAsia"/>
            <w:color w:val="auto"/>
          </w:rPr>
          <w:t>基金管</w:t>
        </w:r>
        <w:r w:rsidR="00CD789A">
          <w:rPr>
            <w:rStyle w:val="ad"/>
            <w:rFonts w:ascii="宋体" w:hAnsi="宋体" w:hint="eastAsia"/>
            <w:color w:val="auto"/>
          </w:rPr>
          <w:t>理人对基金托管人的业务核查</w:t>
        </w:r>
        <w:r w:rsidR="00CD789A">
          <w:tab/>
        </w:r>
        <w:r>
          <w:fldChar w:fldCharType="begin"/>
        </w:r>
        <w:r w:rsidR="00CD789A">
          <w:instrText xml:space="preserve"> PAGEREF _Toc140002339 \h </w:instrText>
        </w:r>
        <w:r>
          <w:fldChar w:fldCharType="separate"/>
        </w:r>
        <w:r w:rsidR="00CD789A">
          <w:t>9</w:t>
        </w:r>
        <w:r>
          <w:fldChar w:fldCharType="end"/>
        </w:r>
      </w:hyperlink>
    </w:p>
    <w:p w:rsidR="00A674F9" w:rsidRDefault="00A674F9">
      <w:pPr>
        <w:pStyle w:val="10"/>
        <w:tabs>
          <w:tab w:val="right" w:pos="8296"/>
        </w:tabs>
        <w:adjustRightInd w:val="0"/>
        <w:spacing w:before="100" w:beforeAutospacing="1" w:after="100" w:afterAutospacing="1"/>
        <w:rPr>
          <w:rFonts w:ascii="Times New Roman" w:hAnsi="Times New Roman" w:cs="Times New Roman"/>
          <w:b w:val="0"/>
          <w:bCs w:val="0"/>
          <w:caps w:val="0"/>
          <w:sz w:val="21"/>
        </w:rPr>
      </w:pPr>
      <w:hyperlink w:anchor="_Toc140002340" w:history="1">
        <w:r w:rsidR="00CD789A">
          <w:rPr>
            <w:rStyle w:val="ad"/>
            <w:rFonts w:ascii="宋体" w:hAnsi="宋体" w:hint="eastAsia"/>
            <w:color w:val="auto"/>
          </w:rPr>
          <w:t>五、</w:t>
        </w:r>
        <w:r w:rsidR="00CD789A">
          <w:rPr>
            <w:rStyle w:val="ad"/>
            <w:rFonts w:ascii="宋体" w:hAnsi="宋体" w:hint="eastAsia"/>
            <w:color w:val="auto"/>
          </w:rPr>
          <w:t xml:space="preserve"> </w:t>
        </w:r>
        <w:r w:rsidR="00CD789A">
          <w:rPr>
            <w:rStyle w:val="ad"/>
            <w:rFonts w:ascii="宋体" w:hAnsi="宋体" w:hint="eastAsia"/>
            <w:color w:val="auto"/>
          </w:rPr>
          <w:t>基金财产保管</w:t>
        </w:r>
        <w:r w:rsidR="00CD789A">
          <w:tab/>
        </w:r>
        <w:r>
          <w:fldChar w:fldCharType="begin"/>
        </w:r>
        <w:r w:rsidR="00CD789A">
          <w:instrText xml:space="preserve"> PAGEREF _Toc140002340 \h </w:instrText>
        </w:r>
        <w:r>
          <w:fldChar w:fldCharType="separate"/>
        </w:r>
        <w:r w:rsidR="00CD789A">
          <w:t>10</w:t>
        </w:r>
        <w:r>
          <w:fldChar w:fldCharType="end"/>
        </w:r>
      </w:hyperlink>
    </w:p>
    <w:p w:rsidR="00A674F9" w:rsidRDefault="00A674F9">
      <w:pPr>
        <w:pStyle w:val="10"/>
        <w:tabs>
          <w:tab w:val="right" w:pos="8296"/>
        </w:tabs>
        <w:adjustRightInd w:val="0"/>
        <w:spacing w:before="100" w:beforeAutospacing="1" w:after="100" w:afterAutospacing="1"/>
        <w:rPr>
          <w:rFonts w:ascii="Times New Roman" w:hAnsi="Times New Roman" w:cs="Times New Roman"/>
          <w:b w:val="0"/>
          <w:bCs w:val="0"/>
          <w:caps w:val="0"/>
          <w:sz w:val="21"/>
        </w:rPr>
      </w:pPr>
      <w:hyperlink w:anchor="_Toc140002341" w:history="1">
        <w:r w:rsidR="00CD789A">
          <w:rPr>
            <w:rStyle w:val="ad"/>
            <w:rFonts w:ascii="宋体" w:hAnsi="宋体" w:hint="eastAsia"/>
            <w:color w:val="auto"/>
          </w:rPr>
          <w:t>六、</w:t>
        </w:r>
        <w:r w:rsidR="00CD789A">
          <w:rPr>
            <w:rStyle w:val="ad"/>
            <w:rFonts w:ascii="宋体" w:hAnsi="宋体" w:hint="eastAsia"/>
            <w:color w:val="auto"/>
          </w:rPr>
          <w:t xml:space="preserve"> </w:t>
        </w:r>
        <w:r w:rsidR="00CD789A">
          <w:rPr>
            <w:rStyle w:val="ad"/>
            <w:rFonts w:ascii="宋体" w:hAnsi="宋体" w:hint="eastAsia"/>
            <w:color w:val="auto"/>
          </w:rPr>
          <w:t>指令的发</w:t>
        </w:r>
        <w:bookmarkStart w:id="17" w:name="_Hlt297733191"/>
        <w:r w:rsidR="00CD789A">
          <w:rPr>
            <w:rStyle w:val="ad"/>
            <w:rFonts w:ascii="宋体" w:hAnsi="宋体" w:hint="eastAsia"/>
            <w:color w:val="auto"/>
          </w:rPr>
          <w:t>送</w:t>
        </w:r>
        <w:bookmarkEnd w:id="17"/>
        <w:r w:rsidR="00CD789A">
          <w:rPr>
            <w:rStyle w:val="ad"/>
            <w:rFonts w:ascii="宋体" w:hAnsi="宋体" w:hint="eastAsia"/>
            <w:color w:val="auto"/>
          </w:rPr>
          <w:t>、确认和执行</w:t>
        </w:r>
        <w:r w:rsidR="00CD789A">
          <w:tab/>
        </w:r>
        <w:r>
          <w:fldChar w:fldCharType="begin"/>
        </w:r>
        <w:r w:rsidR="00CD789A">
          <w:instrText xml:space="preserve"> PAGEREF _Toc140002341 \h </w:instrText>
        </w:r>
        <w:r>
          <w:fldChar w:fldCharType="separate"/>
        </w:r>
        <w:r w:rsidR="00CD789A">
          <w:t>13</w:t>
        </w:r>
        <w:r>
          <w:fldChar w:fldCharType="end"/>
        </w:r>
      </w:hyperlink>
    </w:p>
    <w:p w:rsidR="00A674F9" w:rsidRDefault="00A674F9">
      <w:pPr>
        <w:pStyle w:val="10"/>
        <w:tabs>
          <w:tab w:val="right" w:pos="8296"/>
        </w:tabs>
        <w:adjustRightInd w:val="0"/>
        <w:spacing w:before="100" w:beforeAutospacing="1" w:after="100" w:afterAutospacing="1"/>
        <w:rPr>
          <w:rFonts w:ascii="Times New Roman" w:hAnsi="Times New Roman" w:cs="Times New Roman"/>
          <w:b w:val="0"/>
          <w:bCs w:val="0"/>
          <w:caps w:val="0"/>
          <w:sz w:val="21"/>
        </w:rPr>
      </w:pPr>
      <w:hyperlink w:anchor="_Toc140002342" w:history="1">
        <w:r w:rsidR="00CD789A">
          <w:rPr>
            <w:rStyle w:val="ad"/>
            <w:rFonts w:ascii="宋体" w:hAnsi="宋体" w:hint="eastAsia"/>
            <w:color w:val="auto"/>
          </w:rPr>
          <w:t>七、</w:t>
        </w:r>
        <w:r w:rsidR="00CD789A">
          <w:rPr>
            <w:rStyle w:val="ad"/>
            <w:rFonts w:ascii="宋体" w:hAnsi="宋体" w:hint="eastAsia"/>
            <w:color w:val="auto"/>
          </w:rPr>
          <w:t xml:space="preserve"> </w:t>
        </w:r>
        <w:r w:rsidR="00CD789A">
          <w:rPr>
            <w:rStyle w:val="ad"/>
            <w:rFonts w:ascii="宋体" w:hAnsi="宋体" w:hint="eastAsia"/>
            <w:color w:val="auto"/>
          </w:rPr>
          <w:t>交易及清算交收安排</w:t>
        </w:r>
        <w:r w:rsidR="00CD789A">
          <w:tab/>
        </w:r>
        <w:r>
          <w:fldChar w:fldCharType="begin"/>
        </w:r>
        <w:r w:rsidR="00CD789A">
          <w:instrText xml:space="preserve"> PAGEREF _Toc140002342 \h </w:instrText>
        </w:r>
        <w:r>
          <w:fldChar w:fldCharType="separate"/>
        </w:r>
        <w:r w:rsidR="00CD789A">
          <w:t>15</w:t>
        </w:r>
        <w:r>
          <w:fldChar w:fldCharType="end"/>
        </w:r>
      </w:hyperlink>
    </w:p>
    <w:p w:rsidR="00A674F9" w:rsidRDefault="00A674F9">
      <w:pPr>
        <w:pStyle w:val="10"/>
        <w:tabs>
          <w:tab w:val="right" w:pos="8296"/>
        </w:tabs>
        <w:adjustRightInd w:val="0"/>
        <w:spacing w:before="100" w:beforeAutospacing="1" w:after="100" w:afterAutospacing="1"/>
        <w:rPr>
          <w:rFonts w:ascii="Times New Roman" w:hAnsi="Times New Roman" w:cs="Times New Roman"/>
          <w:b w:val="0"/>
          <w:bCs w:val="0"/>
          <w:caps w:val="0"/>
          <w:sz w:val="21"/>
        </w:rPr>
      </w:pPr>
      <w:hyperlink w:anchor="_Toc140002343" w:history="1">
        <w:r w:rsidR="00CD789A">
          <w:rPr>
            <w:rStyle w:val="ad"/>
            <w:rFonts w:ascii="宋体" w:hAnsi="宋体" w:hint="eastAsia"/>
            <w:color w:val="auto"/>
          </w:rPr>
          <w:t>八、</w:t>
        </w:r>
        <w:r w:rsidR="00CD789A">
          <w:rPr>
            <w:rStyle w:val="ad"/>
            <w:rFonts w:ascii="宋体" w:hAnsi="宋体" w:hint="eastAsia"/>
            <w:color w:val="auto"/>
          </w:rPr>
          <w:t xml:space="preserve"> </w:t>
        </w:r>
        <w:r w:rsidR="00CD789A">
          <w:rPr>
            <w:rStyle w:val="ad"/>
            <w:rFonts w:ascii="宋体" w:hAnsi="宋体" w:hint="eastAsia"/>
            <w:color w:val="auto"/>
          </w:rPr>
          <w:t>基金资产净值计算和会</w:t>
        </w:r>
        <w:bookmarkStart w:id="18" w:name="_Hlt193098038"/>
        <w:r w:rsidR="00CD789A">
          <w:rPr>
            <w:rStyle w:val="ad"/>
            <w:rFonts w:ascii="宋体" w:hAnsi="宋体" w:hint="eastAsia"/>
            <w:color w:val="auto"/>
          </w:rPr>
          <w:t>计</w:t>
        </w:r>
        <w:bookmarkEnd w:id="18"/>
        <w:r w:rsidR="00CD789A">
          <w:rPr>
            <w:rStyle w:val="ad"/>
            <w:rFonts w:ascii="宋体" w:hAnsi="宋体" w:hint="eastAsia"/>
            <w:color w:val="auto"/>
          </w:rPr>
          <w:t>核算</w:t>
        </w:r>
        <w:r w:rsidR="00CD789A">
          <w:tab/>
        </w:r>
        <w:r>
          <w:fldChar w:fldCharType="begin"/>
        </w:r>
        <w:r w:rsidR="00CD789A">
          <w:instrText xml:space="preserve"> PAGEREF _Toc140002343 \h </w:instrText>
        </w:r>
        <w:r>
          <w:fldChar w:fldCharType="separate"/>
        </w:r>
        <w:r w:rsidR="00CD789A">
          <w:t>17</w:t>
        </w:r>
        <w:r>
          <w:fldChar w:fldCharType="end"/>
        </w:r>
      </w:hyperlink>
    </w:p>
    <w:p w:rsidR="00A674F9" w:rsidRDefault="00A674F9">
      <w:pPr>
        <w:pStyle w:val="10"/>
        <w:tabs>
          <w:tab w:val="right" w:pos="8296"/>
        </w:tabs>
        <w:adjustRightInd w:val="0"/>
        <w:spacing w:before="100" w:beforeAutospacing="1" w:after="100" w:afterAutospacing="1"/>
        <w:rPr>
          <w:rFonts w:ascii="Times New Roman" w:hAnsi="Times New Roman" w:cs="Times New Roman"/>
          <w:b w:val="0"/>
          <w:bCs w:val="0"/>
          <w:caps w:val="0"/>
          <w:sz w:val="21"/>
        </w:rPr>
      </w:pPr>
      <w:hyperlink w:anchor="_Toc140002344" w:history="1">
        <w:r w:rsidR="00CD789A">
          <w:rPr>
            <w:rStyle w:val="ad"/>
            <w:rFonts w:ascii="宋体" w:hAnsi="宋体" w:hint="eastAsia"/>
            <w:color w:val="auto"/>
          </w:rPr>
          <w:t>九、</w:t>
        </w:r>
        <w:r w:rsidR="00CD789A">
          <w:rPr>
            <w:rStyle w:val="ad"/>
            <w:rFonts w:ascii="宋体" w:hAnsi="宋体" w:hint="eastAsia"/>
            <w:color w:val="auto"/>
          </w:rPr>
          <w:t xml:space="preserve"> </w:t>
        </w:r>
        <w:r w:rsidR="00CD789A">
          <w:rPr>
            <w:rStyle w:val="ad"/>
            <w:rFonts w:ascii="宋体" w:hAnsi="宋体" w:hint="eastAsia"/>
            <w:color w:val="auto"/>
          </w:rPr>
          <w:t>基金收益分配</w:t>
        </w:r>
        <w:r w:rsidR="00CD789A">
          <w:tab/>
        </w:r>
        <w:r>
          <w:fldChar w:fldCharType="begin"/>
        </w:r>
        <w:r w:rsidR="00CD789A">
          <w:instrText xml:space="preserve"> PAGEREF _Toc140002344 \h </w:instrText>
        </w:r>
        <w:r>
          <w:fldChar w:fldCharType="separate"/>
        </w:r>
        <w:r w:rsidR="00CD789A">
          <w:t>23</w:t>
        </w:r>
        <w:r>
          <w:fldChar w:fldCharType="end"/>
        </w:r>
      </w:hyperlink>
    </w:p>
    <w:p w:rsidR="00A674F9" w:rsidRDefault="00A674F9">
      <w:pPr>
        <w:pStyle w:val="10"/>
        <w:tabs>
          <w:tab w:val="right" w:pos="8296"/>
        </w:tabs>
        <w:adjustRightInd w:val="0"/>
        <w:spacing w:before="100" w:beforeAutospacing="1" w:after="100" w:afterAutospacing="1"/>
        <w:rPr>
          <w:rFonts w:ascii="Times New Roman" w:hAnsi="Times New Roman" w:cs="Times New Roman"/>
          <w:b w:val="0"/>
          <w:bCs w:val="0"/>
          <w:caps w:val="0"/>
          <w:sz w:val="21"/>
        </w:rPr>
      </w:pPr>
      <w:hyperlink w:anchor="_Toc140002345" w:history="1">
        <w:r w:rsidR="00CD789A">
          <w:rPr>
            <w:rStyle w:val="ad"/>
            <w:rFonts w:ascii="宋体" w:hAnsi="宋体" w:hint="eastAsia"/>
            <w:color w:val="auto"/>
          </w:rPr>
          <w:t>十、</w:t>
        </w:r>
        <w:r w:rsidR="00CD789A">
          <w:rPr>
            <w:rStyle w:val="ad"/>
            <w:rFonts w:ascii="宋体" w:hAnsi="宋体" w:hint="eastAsia"/>
            <w:color w:val="auto"/>
          </w:rPr>
          <w:t xml:space="preserve"> </w:t>
        </w:r>
        <w:r w:rsidR="00CD789A">
          <w:rPr>
            <w:rStyle w:val="ad"/>
            <w:rFonts w:ascii="宋体" w:hAnsi="宋体" w:hint="eastAsia"/>
            <w:color w:val="auto"/>
          </w:rPr>
          <w:t>信息披露</w:t>
        </w:r>
        <w:r w:rsidR="00CD789A">
          <w:tab/>
        </w:r>
        <w:r>
          <w:fldChar w:fldCharType="begin"/>
        </w:r>
        <w:r w:rsidR="00CD789A">
          <w:instrText xml:space="preserve"> PAGEREF _Toc140002345 \h </w:instrText>
        </w:r>
        <w:r>
          <w:fldChar w:fldCharType="separate"/>
        </w:r>
        <w:r w:rsidR="00CD789A">
          <w:t>24</w:t>
        </w:r>
        <w:r>
          <w:fldChar w:fldCharType="end"/>
        </w:r>
      </w:hyperlink>
    </w:p>
    <w:p w:rsidR="00A674F9" w:rsidRDefault="00A674F9">
      <w:pPr>
        <w:pStyle w:val="10"/>
        <w:tabs>
          <w:tab w:val="right" w:pos="8296"/>
        </w:tabs>
        <w:adjustRightInd w:val="0"/>
        <w:spacing w:before="100" w:beforeAutospacing="1" w:after="100" w:afterAutospacing="1"/>
        <w:rPr>
          <w:rFonts w:ascii="Times New Roman" w:hAnsi="Times New Roman" w:cs="Times New Roman"/>
          <w:b w:val="0"/>
          <w:bCs w:val="0"/>
          <w:caps w:val="0"/>
          <w:sz w:val="21"/>
        </w:rPr>
      </w:pPr>
      <w:hyperlink w:anchor="_Toc140002346" w:history="1">
        <w:r w:rsidR="00CD789A">
          <w:rPr>
            <w:rStyle w:val="ad"/>
            <w:rFonts w:ascii="宋体" w:hAnsi="宋体" w:hint="eastAsia"/>
            <w:color w:val="auto"/>
          </w:rPr>
          <w:t>十一、</w:t>
        </w:r>
        <w:r w:rsidR="00CD789A">
          <w:rPr>
            <w:rStyle w:val="ad"/>
            <w:rFonts w:ascii="宋体" w:hAnsi="宋体" w:hint="eastAsia"/>
            <w:color w:val="auto"/>
          </w:rPr>
          <w:t xml:space="preserve"> </w:t>
        </w:r>
        <w:r w:rsidR="00CD789A">
          <w:rPr>
            <w:rStyle w:val="ad"/>
            <w:rFonts w:ascii="宋体" w:hAnsi="宋体" w:hint="eastAsia"/>
            <w:color w:val="auto"/>
          </w:rPr>
          <w:t>基金费用</w:t>
        </w:r>
        <w:r w:rsidR="00CD789A">
          <w:tab/>
        </w:r>
        <w:r>
          <w:fldChar w:fldCharType="begin"/>
        </w:r>
        <w:r w:rsidR="00CD789A">
          <w:instrText xml:space="preserve"> PAGEREF _T</w:instrText>
        </w:r>
        <w:r w:rsidR="00CD789A">
          <w:instrText xml:space="preserve">oc140002346 \h </w:instrText>
        </w:r>
        <w:r>
          <w:fldChar w:fldCharType="separate"/>
        </w:r>
        <w:r w:rsidR="00CD789A">
          <w:t>25</w:t>
        </w:r>
        <w:r>
          <w:fldChar w:fldCharType="end"/>
        </w:r>
      </w:hyperlink>
    </w:p>
    <w:p w:rsidR="00A674F9" w:rsidRDefault="00A674F9">
      <w:pPr>
        <w:pStyle w:val="10"/>
        <w:tabs>
          <w:tab w:val="right" w:pos="8296"/>
        </w:tabs>
        <w:adjustRightInd w:val="0"/>
        <w:spacing w:before="100" w:beforeAutospacing="1" w:after="100" w:afterAutospacing="1"/>
        <w:rPr>
          <w:rFonts w:ascii="Times New Roman" w:hAnsi="Times New Roman" w:cs="Times New Roman"/>
          <w:b w:val="0"/>
          <w:bCs w:val="0"/>
          <w:caps w:val="0"/>
          <w:sz w:val="21"/>
        </w:rPr>
      </w:pPr>
      <w:hyperlink w:anchor="_Toc140002347" w:history="1">
        <w:r w:rsidR="00CD789A">
          <w:rPr>
            <w:rStyle w:val="ad"/>
            <w:rFonts w:ascii="宋体" w:hAnsi="宋体" w:hint="eastAsia"/>
            <w:color w:val="auto"/>
          </w:rPr>
          <w:t>十二、</w:t>
        </w:r>
        <w:r w:rsidR="00CD789A">
          <w:rPr>
            <w:rStyle w:val="ad"/>
            <w:rFonts w:ascii="宋体" w:hAnsi="宋体" w:hint="eastAsia"/>
            <w:color w:val="auto"/>
          </w:rPr>
          <w:t xml:space="preserve"> </w:t>
        </w:r>
        <w:r w:rsidR="00CD789A">
          <w:rPr>
            <w:rStyle w:val="ad"/>
            <w:rFonts w:ascii="宋体" w:hAnsi="宋体" w:hint="eastAsia"/>
            <w:color w:val="auto"/>
          </w:rPr>
          <w:t>基金份额持有人名册的保管</w:t>
        </w:r>
        <w:r w:rsidR="00CD789A">
          <w:tab/>
        </w:r>
        <w:r>
          <w:fldChar w:fldCharType="begin"/>
        </w:r>
        <w:r w:rsidR="00CD789A">
          <w:instrText xml:space="preserve"> PAGEREF _Toc140002347 \h </w:instrText>
        </w:r>
        <w:r>
          <w:fldChar w:fldCharType="separate"/>
        </w:r>
        <w:r w:rsidR="00CD789A">
          <w:t>27</w:t>
        </w:r>
        <w:r>
          <w:fldChar w:fldCharType="end"/>
        </w:r>
      </w:hyperlink>
    </w:p>
    <w:p w:rsidR="00A674F9" w:rsidRDefault="00A674F9">
      <w:pPr>
        <w:pStyle w:val="10"/>
        <w:tabs>
          <w:tab w:val="right" w:pos="8296"/>
        </w:tabs>
        <w:adjustRightInd w:val="0"/>
        <w:spacing w:before="100" w:beforeAutospacing="1" w:after="100" w:afterAutospacing="1"/>
        <w:rPr>
          <w:rFonts w:ascii="Times New Roman" w:hAnsi="Times New Roman" w:cs="Times New Roman"/>
          <w:b w:val="0"/>
          <w:bCs w:val="0"/>
          <w:caps w:val="0"/>
          <w:sz w:val="21"/>
        </w:rPr>
      </w:pPr>
      <w:hyperlink w:anchor="_Toc140002348" w:history="1">
        <w:r w:rsidR="00CD789A">
          <w:rPr>
            <w:rStyle w:val="ad"/>
            <w:rFonts w:ascii="宋体" w:hAnsi="宋体" w:hint="eastAsia"/>
            <w:color w:val="auto"/>
          </w:rPr>
          <w:t>十三、</w:t>
        </w:r>
        <w:r w:rsidR="00CD789A">
          <w:rPr>
            <w:rStyle w:val="ad"/>
            <w:rFonts w:ascii="宋体" w:hAnsi="宋体" w:hint="eastAsia"/>
            <w:color w:val="auto"/>
          </w:rPr>
          <w:t xml:space="preserve"> </w:t>
        </w:r>
        <w:r w:rsidR="00CD789A">
          <w:rPr>
            <w:rStyle w:val="ad"/>
            <w:rFonts w:ascii="宋体" w:hAnsi="宋体" w:hint="eastAsia"/>
            <w:color w:val="auto"/>
          </w:rPr>
          <w:t>基金有关文件和档案的保存</w:t>
        </w:r>
        <w:r w:rsidR="00CD789A">
          <w:tab/>
        </w:r>
        <w:r>
          <w:fldChar w:fldCharType="begin"/>
        </w:r>
        <w:r w:rsidR="00CD789A">
          <w:instrText xml:space="preserve"> PAGEREF _Toc140002348 \h </w:instrText>
        </w:r>
        <w:r>
          <w:fldChar w:fldCharType="separate"/>
        </w:r>
        <w:r w:rsidR="00CD789A">
          <w:t>28</w:t>
        </w:r>
        <w:r>
          <w:fldChar w:fldCharType="end"/>
        </w:r>
      </w:hyperlink>
    </w:p>
    <w:p w:rsidR="00A674F9" w:rsidRDefault="00A674F9">
      <w:pPr>
        <w:pStyle w:val="10"/>
        <w:tabs>
          <w:tab w:val="right" w:pos="8296"/>
        </w:tabs>
        <w:adjustRightInd w:val="0"/>
        <w:spacing w:before="100" w:beforeAutospacing="1" w:after="100" w:afterAutospacing="1"/>
        <w:rPr>
          <w:rFonts w:ascii="Times New Roman" w:hAnsi="Times New Roman" w:cs="Times New Roman"/>
          <w:b w:val="0"/>
          <w:bCs w:val="0"/>
          <w:caps w:val="0"/>
          <w:sz w:val="21"/>
        </w:rPr>
      </w:pPr>
      <w:hyperlink w:anchor="_Toc140002349" w:history="1">
        <w:r w:rsidR="00CD789A">
          <w:rPr>
            <w:rStyle w:val="ad"/>
            <w:rFonts w:ascii="宋体" w:hAnsi="宋体" w:hint="eastAsia"/>
            <w:color w:val="auto"/>
          </w:rPr>
          <w:t>十四、</w:t>
        </w:r>
        <w:r w:rsidR="00CD789A">
          <w:rPr>
            <w:rStyle w:val="ad"/>
            <w:rFonts w:ascii="宋体" w:hAnsi="宋体" w:hint="eastAsia"/>
            <w:color w:val="auto"/>
          </w:rPr>
          <w:t xml:space="preserve"> </w:t>
        </w:r>
        <w:r w:rsidR="00CD789A">
          <w:rPr>
            <w:rStyle w:val="ad"/>
            <w:rFonts w:ascii="宋体" w:hAnsi="宋体" w:hint="eastAsia"/>
            <w:color w:val="auto"/>
          </w:rPr>
          <w:t>基金管理人和基金托管人的更换</w:t>
        </w:r>
        <w:r w:rsidR="00CD789A">
          <w:tab/>
        </w:r>
        <w:r>
          <w:fldChar w:fldCharType="begin"/>
        </w:r>
        <w:r w:rsidR="00CD789A">
          <w:instrText xml:space="preserve"> PAGEREF _Toc140002349 \h </w:instrText>
        </w:r>
        <w:r>
          <w:fldChar w:fldCharType="separate"/>
        </w:r>
        <w:r w:rsidR="00CD789A">
          <w:t>28</w:t>
        </w:r>
        <w:r>
          <w:fldChar w:fldCharType="end"/>
        </w:r>
      </w:hyperlink>
    </w:p>
    <w:p w:rsidR="00A674F9" w:rsidRDefault="00A674F9">
      <w:pPr>
        <w:pStyle w:val="10"/>
        <w:tabs>
          <w:tab w:val="right" w:pos="8296"/>
        </w:tabs>
        <w:adjustRightInd w:val="0"/>
        <w:spacing w:before="100" w:beforeAutospacing="1" w:after="100" w:afterAutospacing="1"/>
        <w:rPr>
          <w:rFonts w:ascii="Times New Roman" w:hAnsi="Times New Roman" w:cs="Times New Roman"/>
          <w:b w:val="0"/>
          <w:bCs w:val="0"/>
          <w:caps w:val="0"/>
          <w:sz w:val="21"/>
        </w:rPr>
      </w:pPr>
      <w:hyperlink w:anchor="_Toc140002350" w:history="1">
        <w:r w:rsidR="00CD789A">
          <w:rPr>
            <w:rStyle w:val="ad"/>
            <w:rFonts w:ascii="宋体" w:hAnsi="宋体" w:hint="eastAsia"/>
            <w:color w:val="auto"/>
          </w:rPr>
          <w:t>十五、</w:t>
        </w:r>
        <w:r w:rsidR="00CD789A">
          <w:rPr>
            <w:rStyle w:val="ad"/>
            <w:rFonts w:ascii="宋体" w:hAnsi="宋体" w:hint="eastAsia"/>
            <w:color w:val="auto"/>
          </w:rPr>
          <w:t xml:space="preserve"> </w:t>
        </w:r>
        <w:r w:rsidR="00CD789A">
          <w:rPr>
            <w:rStyle w:val="ad"/>
            <w:rFonts w:ascii="宋体" w:hAnsi="宋体" w:hint="eastAsia"/>
            <w:color w:val="auto"/>
          </w:rPr>
          <w:t>禁止行</w:t>
        </w:r>
        <w:bookmarkStart w:id="19" w:name="_Hlt297731995"/>
        <w:r w:rsidR="00CD789A">
          <w:rPr>
            <w:rStyle w:val="ad"/>
            <w:rFonts w:ascii="宋体" w:hAnsi="宋体" w:hint="eastAsia"/>
            <w:color w:val="auto"/>
          </w:rPr>
          <w:t>为</w:t>
        </w:r>
        <w:bookmarkEnd w:id="19"/>
        <w:r w:rsidR="00CD789A">
          <w:tab/>
        </w:r>
        <w:r>
          <w:fldChar w:fldCharType="begin"/>
        </w:r>
        <w:r w:rsidR="00CD789A">
          <w:instrText xml:space="preserve"> PAGEREF _Toc140002350 \h </w:instrText>
        </w:r>
        <w:r>
          <w:fldChar w:fldCharType="separate"/>
        </w:r>
        <w:r w:rsidR="00CD789A">
          <w:t>30</w:t>
        </w:r>
        <w:r>
          <w:fldChar w:fldCharType="end"/>
        </w:r>
      </w:hyperlink>
    </w:p>
    <w:p w:rsidR="00A674F9" w:rsidRDefault="00A674F9">
      <w:pPr>
        <w:pStyle w:val="10"/>
        <w:tabs>
          <w:tab w:val="right" w:pos="8296"/>
        </w:tabs>
        <w:adjustRightInd w:val="0"/>
        <w:spacing w:before="100" w:beforeAutospacing="1" w:after="100" w:afterAutospacing="1"/>
        <w:rPr>
          <w:rFonts w:ascii="Times New Roman" w:hAnsi="Times New Roman" w:cs="Times New Roman"/>
          <w:b w:val="0"/>
          <w:bCs w:val="0"/>
          <w:caps w:val="0"/>
          <w:sz w:val="21"/>
        </w:rPr>
      </w:pPr>
      <w:hyperlink w:anchor="_Toc140002351" w:history="1">
        <w:r w:rsidR="00CD789A">
          <w:rPr>
            <w:rStyle w:val="ad"/>
            <w:rFonts w:ascii="宋体" w:hAnsi="宋体" w:hint="eastAsia"/>
            <w:color w:val="auto"/>
          </w:rPr>
          <w:t>十六、</w:t>
        </w:r>
        <w:r w:rsidR="00CD789A">
          <w:rPr>
            <w:rStyle w:val="ad"/>
            <w:rFonts w:ascii="宋体" w:hAnsi="宋体" w:hint="eastAsia"/>
            <w:color w:val="auto"/>
          </w:rPr>
          <w:t xml:space="preserve"> </w:t>
        </w:r>
        <w:r w:rsidR="00CD789A">
          <w:rPr>
            <w:rStyle w:val="ad"/>
            <w:rFonts w:ascii="宋体" w:hAnsi="宋体" w:hint="eastAsia"/>
            <w:color w:val="auto"/>
          </w:rPr>
          <w:t>基金托管协议的变更、终止与基金财产的清算</w:t>
        </w:r>
        <w:r w:rsidR="00CD789A">
          <w:tab/>
        </w:r>
        <w:r>
          <w:fldChar w:fldCharType="begin"/>
        </w:r>
        <w:r w:rsidR="00CD789A">
          <w:instrText xml:space="preserve"> PAGEREF _Toc140002351 \h </w:instrText>
        </w:r>
        <w:r>
          <w:fldChar w:fldCharType="separate"/>
        </w:r>
        <w:r w:rsidR="00CD789A">
          <w:t>31</w:t>
        </w:r>
        <w:r>
          <w:fldChar w:fldCharType="end"/>
        </w:r>
      </w:hyperlink>
    </w:p>
    <w:p w:rsidR="00A674F9" w:rsidRDefault="00A674F9">
      <w:pPr>
        <w:pStyle w:val="10"/>
        <w:tabs>
          <w:tab w:val="right" w:pos="8296"/>
        </w:tabs>
        <w:adjustRightInd w:val="0"/>
        <w:spacing w:before="100" w:beforeAutospacing="1" w:after="100" w:afterAutospacing="1"/>
        <w:rPr>
          <w:rFonts w:ascii="Times New Roman" w:hAnsi="Times New Roman" w:cs="Times New Roman"/>
          <w:b w:val="0"/>
          <w:bCs w:val="0"/>
          <w:caps w:val="0"/>
          <w:sz w:val="21"/>
        </w:rPr>
      </w:pPr>
      <w:hyperlink w:anchor="_Toc140002352" w:history="1">
        <w:r w:rsidR="00CD789A">
          <w:rPr>
            <w:rStyle w:val="ad"/>
            <w:rFonts w:ascii="宋体" w:hAnsi="宋体" w:hint="eastAsia"/>
            <w:color w:val="auto"/>
          </w:rPr>
          <w:t>十七、</w:t>
        </w:r>
        <w:r w:rsidR="00CD789A">
          <w:rPr>
            <w:rStyle w:val="ad"/>
            <w:rFonts w:ascii="宋体" w:hAnsi="宋体" w:hint="eastAsia"/>
            <w:color w:val="auto"/>
          </w:rPr>
          <w:t xml:space="preserve"> </w:t>
        </w:r>
        <w:r w:rsidR="00CD789A">
          <w:rPr>
            <w:rStyle w:val="ad"/>
            <w:rFonts w:ascii="宋体" w:hAnsi="宋体" w:hint="eastAsia"/>
            <w:color w:val="auto"/>
          </w:rPr>
          <w:t>违约责任</w:t>
        </w:r>
        <w:r w:rsidR="00CD789A">
          <w:tab/>
        </w:r>
        <w:r>
          <w:fldChar w:fldCharType="begin"/>
        </w:r>
        <w:r w:rsidR="00CD789A">
          <w:instrText xml:space="preserve"> PAGEREF _Toc140002352 \h </w:instrText>
        </w:r>
        <w:r>
          <w:fldChar w:fldCharType="separate"/>
        </w:r>
        <w:r w:rsidR="00CD789A">
          <w:t>33</w:t>
        </w:r>
        <w:r>
          <w:fldChar w:fldCharType="end"/>
        </w:r>
      </w:hyperlink>
    </w:p>
    <w:p w:rsidR="00A674F9" w:rsidRDefault="00A674F9">
      <w:pPr>
        <w:pStyle w:val="10"/>
        <w:tabs>
          <w:tab w:val="right" w:pos="8296"/>
        </w:tabs>
        <w:adjustRightInd w:val="0"/>
        <w:spacing w:before="100" w:beforeAutospacing="1" w:after="100" w:afterAutospacing="1"/>
        <w:rPr>
          <w:rFonts w:ascii="Times New Roman" w:hAnsi="Times New Roman" w:cs="Times New Roman"/>
          <w:b w:val="0"/>
          <w:bCs w:val="0"/>
          <w:caps w:val="0"/>
          <w:sz w:val="21"/>
        </w:rPr>
      </w:pPr>
      <w:hyperlink w:anchor="_Toc140002353" w:history="1">
        <w:r w:rsidR="00CD789A">
          <w:rPr>
            <w:rStyle w:val="ad"/>
            <w:rFonts w:ascii="宋体" w:hAnsi="宋体" w:hint="eastAsia"/>
            <w:color w:val="auto"/>
          </w:rPr>
          <w:t>十八、</w:t>
        </w:r>
        <w:r w:rsidR="00CD789A">
          <w:rPr>
            <w:rStyle w:val="ad"/>
            <w:rFonts w:ascii="宋体" w:hAnsi="宋体" w:hint="eastAsia"/>
            <w:color w:val="auto"/>
          </w:rPr>
          <w:t xml:space="preserve"> </w:t>
        </w:r>
        <w:r w:rsidR="00CD789A">
          <w:rPr>
            <w:rStyle w:val="ad"/>
            <w:rFonts w:ascii="宋体" w:hAnsi="宋体" w:hint="eastAsia"/>
            <w:color w:val="auto"/>
          </w:rPr>
          <w:t>争议解决方式</w:t>
        </w:r>
        <w:r w:rsidR="00CD789A">
          <w:tab/>
        </w:r>
        <w:r>
          <w:fldChar w:fldCharType="begin"/>
        </w:r>
        <w:r w:rsidR="00CD789A">
          <w:instrText xml:space="preserve"> PAGEREF _Toc140002353 \h </w:instrText>
        </w:r>
        <w:r>
          <w:fldChar w:fldCharType="separate"/>
        </w:r>
        <w:r w:rsidR="00CD789A">
          <w:t>34</w:t>
        </w:r>
        <w:r>
          <w:fldChar w:fldCharType="end"/>
        </w:r>
      </w:hyperlink>
    </w:p>
    <w:p w:rsidR="00A674F9" w:rsidRDefault="00A674F9">
      <w:pPr>
        <w:pStyle w:val="10"/>
        <w:tabs>
          <w:tab w:val="right" w:pos="8296"/>
        </w:tabs>
        <w:adjustRightInd w:val="0"/>
        <w:spacing w:before="100" w:beforeAutospacing="1" w:after="100" w:afterAutospacing="1"/>
        <w:rPr>
          <w:rFonts w:ascii="Times New Roman" w:hAnsi="Times New Roman" w:cs="Times New Roman"/>
          <w:b w:val="0"/>
          <w:bCs w:val="0"/>
          <w:caps w:val="0"/>
          <w:sz w:val="21"/>
        </w:rPr>
      </w:pPr>
      <w:hyperlink w:anchor="_Toc140002354" w:history="1">
        <w:r w:rsidR="00CD789A">
          <w:rPr>
            <w:rStyle w:val="ad"/>
            <w:rFonts w:ascii="宋体" w:hAnsi="宋体" w:hint="eastAsia"/>
            <w:color w:val="auto"/>
          </w:rPr>
          <w:t>十九、</w:t>
        </w:r>
        <w:r w:rsidR="00CD789A">
          <w:rPr>
            <w:rStyle w:val="ad"/>
            <w:rFonts w:ascii="宋体" w:hAnsi="宋体" w:hint="eastAsia"/>
            <w:color w:val="auto"/>
          </w:rPr>
          <w:t xml:space="preserve"> </w:t>
        </w:r>
        <w:r w:rsidR="00CD789A">
          <w:rPr>
            <w:rStyle w:val="ad"/>
            <w:rFonts w:ascii="宋体" w:hAnsi="宋体" w:hint="eastAsia"/>
            <w:color w:val="auto"/>
          </w:rPr>
          <w:t>基金托管协议的效力</w:t>
        </w:r>
        <w:r w:rsidR="00CD789A">
          <w:tab/>
        </w:r>
        <w:r>
          <w:fldChar w:fldCharType="begin"/>
        </w:r>
        <w:r w:rsidR="00CD789A">
          <w:instrText xml:space="preserve"> PAG</w:instrText>
        </w:r>
        <w:r w:rsidR="00CD789A">
          <w:instrText xml:space="preserve">EREF _Toc140002354 \h </w:instrText>
        </w:r>
        <w:r>
          <w:fldChar w:fldCharType="separate"/>
        </w:r>
        <w:r w:rsidR="00CD789A">
          <w:t>34</w:t>
        </w:r>
        <w:r>
          <w:fldChar w:fldCharType="end"/>
        </w:r>
      </w:hyperlink>
    </w:p>
    <w:p w:rsidR="00A674F9" w:rsidRDefault="00A674F9">
      <w:pPr>
        <w:pStyle w:val="10"/>
        <w:tabs>
          <w:tab w:val="right" w:pos="8296"/>
        </w:tabs>
        <w:adjustRightInd w:val="0"/>
        <w:spacing w:before="100" w:beforeAutospacing="1" w:after="100" w:afterAutospacing="1"/>
        <w:rPr>
          <w:rFonts w:ascii="Times New Roman" w:hAnsi="Times New Roman" w:cs="Times New Roman"/>
          <w:b w:val="0"/>
          <w:bCs w:val="0"/>
          <w:caps w:val="0"/>
          <w:sz w:val="21"/>
        </w:rPr>
      </w:pPr>
      <w:hyperlink w:anchor="_Toc140002355" w:history="1">
        <w:r w:rsidR="00CD789A">
          <w:rPr>
            <w:rStyle w:val="ad"/>
            <w:rFonts w:ascii="宋体" w:hAnsi="宋体" w:hint="eastAsia"/>
            <w:color w:val="auto"/>
          </w:rPr>
          <w:t>二十、</w:t>
        </w:r>
        <w:r w:rsidR="00CD789A">
          <w:rPr>
            <w:rStyle w:val="ad"/>
            <w:rFonts w:ascii="宋体" w:hAnsi="宋体" w:hint="eastAsia"/>
            <w:color w:val="auto"/>
          </w:rPr>
          <w:t xml:space="preserve"> </w:t>
        </w:r>
        <w:r w:rsidR="00CD789A">
          <w:rPr>
            <w:rStyle w:val="ad"/>
            <w:rFonts w:ascii="宋体" w:hAnsi="宋体" w:hint="eastAsia"/>
            <w:color w:val="auto"/>
          </w:rPr>
          <w:t>基金托管协议的签订</w:t>
        </w:r>
        <w:r w:rsidR="00CD789A">
          <w:tab/>
        </w:r>
        <w:r>
          <w:fldChar w:fldCharType="begin"/>
        </w:r>
        <w:r w:rsidR="00CD789A">
          <w:instrText xml:space="preserve"> PAGEREF _Toc140002355 \h </w:instrText>
        </w:r>
        <w:r>
          <w:fldChar w:fldCharType="separate"/>
        </w:r>
        <w:r w:rsidR="00CD789A">
          <w:t>34</w:t>
        </w:r>
        <w:r>
          <w:fldChar w:fldCharType="end"/>
        </w:r>
      </w:hyperlink>
    </w:p>
    <w:p w:rsidR="00A674F9" w:rsidRDefault="00A674F9">
      <w:r>
        <w:fldChar w:fldCharType="end"/>
      </w:r>
    </w:p>
    <w:p w:rsidR="00A674F9" w:rsidRDefault="00A674F9"/>
    <w:p w:rsidR="00A674F9" w:rsidRDefault="00A674F9">
      <w:pPr>
        <w:sectPr w:rsidR="00A674F9">
          <w:footerReference w:type="even" r:id="rId9"/>
          <w:footerReference w:type="default" r:id="rId10"/>
          <w:pgSz w:w="11906" w:h="16838"/>
          <w:pgMar w:top="1440" w:right="1800" w:bottom="1440" w:left="1800" w:header="851" w:footer="992" w:gutter="0"/>
          <w:pgNumType w:start="0"/>
          <w:cols w:space="720"/>
          <w:titlePg/>
          <w:docGrid w:type="lines" w:linePitch="312"/>
        </w:sectPr>
      </w:pPr>
    </w:p>
    <w:p w:rsidR="00A674F9" w:rsidRDefault="00CD789A">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20" w:name="_Toc125361073"/>
      <w:bookmarkStart w:id="21" w:name="_Toc48703884"/>
      <w:bookmarkStart w:id="22" w:name="_Toc523829992"/>
      <w:bookmarkStart w:id="23" w:name="_Toc22454432"/>
      <w:bookmarkStart w:id="24" w:name="_Toc140002336"/>
      <w:bookmarkStart w:id="25" w:name="_Toc124749936"/>
      <w:bookmarkStart w:id="26" w:name="_Toc123626167"/>
      <w:bookmarkStart w:id="27" w:name="_Toc124749225"/>
      <w:r>
        <w:rPr>
          <w:rFonts w:ascii="宋体" w:hAnsi="宋体" w:cs="Arial" w:hint="eastAsia"/>
          <w:sz w:val="30"/>
        </w:rPr>
        <w:lastRenderedPageBreak/>
        <w:t>基金托管协议当事人</w:t>
      </w:r>
      <w:bookmarkEnd w:id="20"/>
      <w:bookmarkEnd w:id="21"/>
      <w:bookmarkEnd w:id="22"/>
      <w:bookmarkEnd w:id="23"/>
      <w:bookmarkEnd w:id="24"/>
      <w:bookmarkEnd w:id="25"/>
      <w:bookmarkEnd w:id="26"/>
      <w:bookmarkEnd w:id="27"/>
    </w:p>
    <w:p w:rsidR="00A674F9" w:rsidRDefault="00CD789A">
      <w:pPr>
        <w:pStyle w:val="2"/>
        <w:keepNext w:val="0"/>
        <w:keepLines w:val="0"/>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bookmarkStart w:id="28" w:name="_Toc48703885"/>
      <w:bookmarkStart w:id="29" w:name="_Toc22454433"/>
      <w:r>
        <w:rPr>
          <w:rFonts w:ascii="宋体" w:eastAsia="宋体" w:hAnsi="宋体" w:cs="Arial" w:hint="eastAsia"/>
          <w:b w:val="0"/>
          <w:kern w:val="0"/>
          <w:sz w:val="24"/>
          <w:szCs w:val="24"/>
        </w:rPr>
        <w:t>（一）基金管理人</w:t>
      </w:r>
      <w:bookmarkEnd w:id="28"/>
      <w:bookmarkEnd w:id="29"/>
    </w:p>
    <w:p w:rsidR="00A674F9" w:rsidRDefault="00CD789A">
      <w:pPr>
        <w:spacing w:after="120" w:line="360" w:lineRule="auto"/>
        <w:ind w:firstLineChars="200" w:firstLine="480"/>
        <w:rPr>
          <w:rFonts w:ascii="宋体" w:hAnsi="宋体"/>
          <w:sz w:val="24"/>
        </w:rPr>
      </w:pPr>
      <w:bookmarkStart w:id="30" w:name="_Toc15118236"/>
      <w:r>
        <w:rPr>
          <w:rFonts w:ascii="宋体" w:hAnsi="宋体" w:hint="eastAsia"/>
          <w:sz w:val="24"/>
        </w:rPr>
        <w:t>名称：财通基金管理有限公司</w:t>
      </w:r>
    </w:p>
    <w:p w:rsidR="00A674F9" w:rsidRDefault="00CD789A">
      <w:pPr>
        <w:spacing w:after="120" w:line="360" w:lineRule="auto"/>
        <w:ind w:firstLineChars="200" w:firstLine="480"/>
        <w:rPr>
          <w:rFonts w:ascii="宋体" w:hAnsi="宋体"/>
          <w:sz w:val="24"/>
        </w:rPr>
      </w:pPr>
      <w:r>
        <w:rPr>
          <w:rFonts w:ascii="宋体" w:hAnsi="宋体" w:hint="eastAsia"/>
          <w:sz w:val="24"/>
        </w:rPr>
        <w:t>住所：上海市虹口区吴淞路</w:t>
      </w:r>
      <w:r>
        <w:rPr>
          <w:rFonts w:ascii="宋体" w:hAnsi="宋体" w:hint="eastAsia"/>
          <w:sz w:val="24"/>
        </w:rPr>
        <w:t>619</w:t>
      </w:r>
      <w:r>
        <w:rPr>
          <w:rFonts w:ascii="宋体" w:hAnsi="宋体" w:hint="eastAsia"/>
          <w:sz w:val="24"/>
        </w:rPr>
        <w:t>号</w:t>
      </w:r>
      <w:r>
        <w:rPr>
          <w:rFonts w:ascii="宋体" w:hAnsi="宋体" w:hint="eastAsia"/>
          <w:sz w:val="24"/>
        </w:rPr>
        <w:t>505</w:t>
      </w:r>
      <w:r>
        <w:rPr>
          <w:rFonts w:ascii="宋体" w:hAnsi="宋体" w:hint="eastAsia"/>
          <w:sz w:val="24"/>
        </w:rPr>
        <w:t>室</w:t>
      </w:r>
    </w:p>
    <w:p w:rsidR="00A674F9" w:rsidRDefault="00CD789A">
      <w:pPr>
        <w:spacing w:after="120" w:line="360" w:lineRule="auto"/>
        <w:ind w:firstLineChars="200" w:firstLine="480"/>
        <w:rPr>
          <w:rFonts w:ascii="宋体" w:hAnsi="宋体"/>
          <w:sz w:val="24"/>
        </w:rPr>
      </w:pPr>
      <w:r>
        <w:rPr>
          <w:rFonts w:ascii="宋体" w:hAnsi="宋体" w:hint="eastAsia"/>
          <w:sz w:val="24"/>
        </w:rPr>
        <w:t>法定代表人：阮琪</w:t>
      </w:r>
    </w:p>
    <w:p w:rsidR="00A674F9" w:rsidRDefault="00CD789A">
      <w:pPr>
        <w:spacing w:after="120" w:line="360" w:lineRule="auto"/>
        <w:ind w:firstLineChars="200" w:firstLine="480"/>
        <w:rPr>
          <w:rFonts w:ascii="宋体" w:hAnsi="宋体"/>
          <w:sz w:val="24"/>
        </w:rPr>
      </w:pPr>
      <w:r>
        <w:rPr>
          <w:rFonts w:ascii="宋体" w:hAnsi="宋体" w:hint="eastAsia"/>
          <w:sz w:val="24"/>
        </w:rPr>
        <w:t>设立日期：</w:t>
      </w:r>
      <w:r>
        <w:rPr>
          <w:rFonts w:ascii="宋体" w:hAnsi="宋体" w:hint="eastAsia"/>
          <w:sz w:val="24"/>
        </w:rPr>
        <w:t>2011</w:t>
      </w:r>
      <w:r>
        <w:rPr>
          <w:rFonts w:ascii="宋体" w:hAnsi="宋体" w:hint="eastAsia"/>
          <w:sz w:val="24"/>
        </w:rPr>
        <w:t>年</w:t>
      </w:r>
      <w:r>
        <w:rPr>
          <w:rFonts w:ascii="宋体" w:hAnsi="宋体" w:hint="eastAsia"/>
          <w:sz w:val="24"/>
        </w:rPr>
        <w:t>6</w:t>
      </w:r>
      <w:r>
        <w:rPr>
          <w:rFonts w:ascii="宋体" w:hAnsi="宋体" w:hint="eastAsia"/>
          <w:sz w:val="24"/>
        </w:rPr>
        <w:t>月</w:t>
      </w:r>
      <w:r>
        <w:rPr>
          <w:rFonts w:ascii="宋体" w:hAnsi="宋体" w:hint="eastAsia"/>
          <w:sz w:val="24"/>
        </w:rPr>
        <w:t>21</w:t>
      </w:r>
      <w:r>
        <w:rPr>
          <w:rFonts w:ascii="宋体" w:hAnsi="宋体" w:hint="eastAsia"/>
          <w:sz w:val="24"/>
        </w:rPr>
        <w:t>日</w:t>
      </w:r>
    </w:p>
    <w:p w:rsidR="00A674F9" w:rsidRDefault="00CD789A">
      <w:pPr>
        <w:spacing w:after="120" w:line="360" w:lineRule="auto"/>
        <w:ind w:firstLineChars="200" w:firstLine="480"/>
        <w:rPr>
          <w:rFonts w:ascii="宋体" w:hAnsi="宋体"/>
          <w:sz w:val="24"/>
        </w:rPr>
      </w:pPr>
      <w:r>
        <w:rPr>
          <w:rFonts w:ascii="宋体" w:hAnsi="宋体" w:hint="eastAsia"/>
          <w:sz w:val="24"/>
        </w:rPr>
        <w:t>批准设立机关及批准设立文号：中国证监会证监许可【</w:t>
      </w:r>
      <w:r>
        <w:rPr>
          <w:rFonts w:ascii="宋体" w:hAnsi="宋体" w:hint="eastAsia"/>
          <w:sz w:val="24"/>
        </w:rPr>
        <w:t>2011</w:t>
      </w:r>
      <w:r>
        <w:rPr>
          <w:rFonts w:ascii="宋体" w:hAnsi="宋体" w:hint="eastAsia"/>
          <w:sz w:val="24"/>
        </w:rPr>
        <w:t>】</w:t>
      </w:r>
      <w:r>
        <w:rPr>
          <w:rFonts w:ascii="宋体" w:hAnsi="宋体" w:hint="eastAsia"/>
          <w:sz w:val="24"/>
        </w:rPr>
        <w:t>840</w:t>
      </w:r>
      <w:r>
        <w:rPr>
          <w:rFonts w:ascii="宋体" w:hAnsi="宋体" w:hint="eastAsia"/>
          <w:sz w:val="24"/>
        </w:rPr>
        <w:t>号</w:t>
      </w:r>
    </w:p>
    <w:p w:rsidR="00A674F9" w:rsidRDefault="00CD789A">
      <w:pPr>
        <w:spacing w:after="120" w:line="360" w:lineRule="auto"/>
        <w:ind w:firstLineChars="200" w:firstLine="480"/>
        <w:rPr>
          <w:rFonts w:ascii="宋体" w:hAnsi="宋体"/>
          <w:sz w:val="24"/>
        </w:rPr>
      </w:pPr>
      <w:r>
        <w:rPr>
          <w:rFonts w:ascii="宋体" w:hAnsi="宋体" w:hint="eastAsia"/>
          <w:sz w:val="24"/>
        </w:rPr>
        <w:t>组织形式：有限责任公司</w:t>
      </w:r>
    </w:p>
    <w:p w:rsidR="00A674F9" w:rsidRDefault="00CD789A">
      <w:pPr>
        <w:spacing w:after="120" w:line="360" w:lineRule="auto"/>
        <w:ind w:firstLineChars="200" w:firstLine="480"/>
        <w:rPr>
          <w:rFonts w:ascii="宋体" w:hAnsi="宋体"/>
          <w:sz w:val="24"/>
        </w:rPr>
      </w:pPr>
      <w:r>
        <w:rPr>
          <w:rFonts w:ascii="宋体" w:hAnsi="宋体" w:hint="eastAsia"/>
          <w:sz w:val="24"/>
        </w:rPr>
        <w:t>注册资本：贰亿元人民币</w:t>
      </w:r>
    </w:p>
    <w:p w:rsidR="00A674F9" w:rsidRDefault="00CD789A">
      <w:pPr>
        <w:spacing w:after="120" w:line="360" w:lineRule="auto"/>
        <w:ind w:firstLineChars="200" w:firstLine="480"/>
        <w:rPr>
          <w:rFonts w:ascii="宋体" w:hAnsi="宋体"/>
          <w:sz w:val="24"/>
        </w:rPr>
      </w:pPr>
      <w:r>
        <w:rPr>
          <w:rFonts w:ascii="宋体" w:hAnsi="宋体" w:hint="eastAsia"/>
          <w:sz w:val="24"/>
        </w:rPr>
        <w:t>存续期限：持续经营</w:t>
      </w:r>
    </w:p>
    <w:p w:rsidR="00A674F9" w:rsidRDefault="00CD789A">
      <w:pPr>
        <w:spacing w:after="120" w:line="360" w:lineRule="auto"/>
        <w:ind w:firstLineChars="200" w:firstLine="480"/>
        <w:rPr>
          <w:rFonts w:ascii="宋体" w:hAnsi="宋体"/>
          <w:sz w:val="24"/>
        </w:rPr>
      </w:pPr>
      <w:r>
        <w:rPr>
          <w:rFonts w:ascii="宋体" w:hAnsi="宋体" w:hint="eastAsia"/>
          <w:sz w:val="24"/>
        </w:rPr>
        <w:t>联系电话：</w:t>
      </w:r>
      <w:r>
        <w:rPr>
          <w:rFonts w:ascii="宋体" w:hAnsi="宋体" w:hint="eastAsia"/>
          <w:sz w:val="24"/>
        </w:rPr>
        <w:t>021-6888 6666</w:t>
      </w:r>
      <w:bookmarkStart w:id="31" w:name="_Toc22454434"/>
      <w:bookmarkStart w:id="32" w:name="_Toc48703886"/>
      <w:bookmarkEnd w:id="30"/>
    </w:p>
    <w:p w:rsidR="00A674F9" w:rsidRDefault="00A674F9">
      <w:pPr>
        <w:spacing w:line="360" w:lineRule="auto"/>
        <w:ind w:firstLineChars="200" w:firstLine="480"/>
        <w:rPr>
          <w:rFonts w:ascii="宋体" w:hAnsi="宋体"/>
          <w:sz w:val="24"/>
        </w:rPr>
      </w:pPr>
    </w:p>
    <w:p w:rsidR="00A674F9" w:rsidRDefault="00CD789A">
      <w:pPr>
        <w:pStyle w:val="2"/>
        <w:keepNext w:val="0"/>
        <w:keepLines w:val="0"/>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r>
        <w:rPr>
          <w:rFonts w:ascii="宋体" w:eastAsia="宋体" w:hAnsi="宋体" w:cs="Arial" w:hint="eastAsia"/>
          <w:b w:val="0"/>
          <w:kern w:val="0"/>
          <w:sz w:val="24"/>
          <w:szCs w:val="24"/>
        </w:rPr>
        <w:t>（二）基金托管人</w:t>
      </w:r>
      <w:bookmarkEnd w:id="31"/>
      <w:bookmarkEnd w:id="32"/>
    </w:p>
    <w:p w:rsidR="00A674F9" w:rsidRDefault="00CD789A">
      <w:pPr>
        <w:spacing w:line="360" w:lineRule="auto"/>
        <w:ind w:firstLineChars="200" w:firstLine="480"/>
        <w:rPr>
          <w:rFonts w:ascii="宋体" w:hAnsi="宋体"/>
          <w:sz w:val="24"/>
        </w:rPr>
      </w:pPr>
      <w:r>
        <w:rPr>
          <w:rFonts w:ascii="宋体" w:hAnsi="宋体" w:hint="eastAsia"/>
          <w:sz w:val="24"/>
        </w:rPr>
        <w:t>名称：中国工商银行股份有限公司</w:t>
      </w:r>
    </w:p>
    <w:p w:rsidR="00A674F9" w:rsidRDefault="00CD789A">
      <w:pPr>
        <w:spacing w:line="360" w:lineRule="auto"/>
        <w:ind w:firstLineChars="200" w:firstLine="480"/>
        <w:rPr>
          <w:rFonts w:ascii="宋体" w:hAnsi="宋体"/>
          <w:sz w:val="24"/>
        </w:rPr>
      </w:pPr>
      <w:r>
        <w:rPr>
          <w:rFonts w:ascii="宋体" w:hAnsi="宋体" w:hint="eastAsia"/>
          <w:sz w:val="24"/>
        </w:rPr>
        <w:t>住所：北京市西城区复兴门内大街</w:t>
      </w:r>
      <w:r>
        <w:rPr>
          <w:rFonts w:ascii="宋体" w:hAnsi="宋体"/>
          <w:sz w:val="24"/>
        </w:rPr>
        <w:t>55</w:t>
      </w:r>
      <w:r>
        <w:rPr>
          <w:rFonts w:ascii="宋体" w:hAnsi="宋体" w:hint="eastAsia"/>
          <w:sz w:val="24"/>
        </w:rPr>
        <w:t>号（</w:t>
      </w:r>
      <w:r>
        <w:rPr>
          <w:rFonts w:ascii="宋体" w:hAnsi="宋体" w:hint="eastAsia"/>
          <w:sz w:val="24"/>
        </w:rPr>
        <w:t>100032</w:t>
      </w:r>
      <w:r>
        <w:rPr>
          <w:rFonts w:ascii="宋体" w:hAnsi="宋体" w:hint="eastAsia"/>
          <w:sz w:val="24"/>
        </w:rPr>
        <w:t>）</w:t>
      </w:r>
    </w:p>
    <w:p w:rsidR="00A674F9" w:rsidRDefault="00CD789A">
      <w:pPr>
        <w:spacing w:line="360" w:lineRule="auto"/>
        <w:ind w:firstLineChars="200" w:firstLine="480"/>
        <w:rPr>
          <w:rFonts w:ascii="宋体" w:hAnsi="宋体"/>
          <w:sz w:val="24"/>
        </w:rPr>
      </w:pPr>
      <w:r>
        <w:rPr>
          <w:rFonts w:ascii="宋体" w:hAnsi="宋体" w:hint="eastAsia"/>
          <w:sz w:val="24"/>
        </w:rPr>
        <w:t>法定代表人：姜建清</w:t>
      </w:r>
    </w:p>
    <w:p w:rsidR="00A674F9" w:rsidRDefault="00CD789A">
      <w:pPr>
        <w:spacing w:line="360" w:lineRule="auto"/>
        <w:ind w:firstLineChars="200" w:firstLine="480"/>
        <w:rPr>
          <w:rFonts w:ascii="宋体" w:hAnsi="宋体"/>
          <w:sz w:val="24"/>
        </w:rPr>
      </w:pPr>
      <w:r>
        <w:rPr>
          <w:rFonts w:ascii="宋体" w:hAnsi="宋体" w:hint="eastAsia"/>
          <w:sz w:val="24"/>
        </w:rPr>
        <w:t>电话：（</w:t>
      </w:r>
      <w:r>
        <w:rPr>
          <w:rFonts w:ascii="宋体" w:hAnsi="宋体"/>
          <w:sz w:val="24"/>
        </w:rPr>
        <w:t>010</w:t>
      </w:r>
      <w:r>
        <w:rPr>
          <w:rFonts w:ascii="宋体" w:hAnsi="宋体" w:hint="eastAsia"/>
          <w:sz w:val="24"/>
        </w:rPr>
        <w:t>）</w:t>
      </w:r>
      <w:r>
        <w:rPr>
          <w:rFonts w:ascii="宋体" w:hAnsi="宋体"/>
          <w:sz w:val="24"/>
        </w:rPr>
        <w:t>6610</w:t>
      </w:r>
      <w:r>
        <w:rPr>
          <w:rFonts w:ascii="宋体" w:hAnsi="宋体" w:hint="eastAsia"/>
          <w:sz w:val="24"/>
        </w:rPr>
        <w:t>5799</w:t>
      </w:r>
    </w:p>
    <w:p w:rsidR="00A674F9" w:rsidRDefault="00CD789A">
      <w:pPr>
        <w:spacing w:line="360" w:lineRule="auto"/>
        <w:ind w:firstLineChars="200" w:firstLine="480"/>
        <w:rPr>
          <w:rFonts w:ascii="宋体" w:hAnsi="宋体"/>
          <w:sz w:val="24"/>
        </w:rPr>
      </w:pPr>
      <w:r>
        <w:rPr>
          <w:rFonts w:ascii="宋体" w:hAnsi="宋体" w:hint="eastAsia"/>
          <w:sz w:val="24"/>
        </w:rPr>
        <w:t>传真：（</w:t>
      </w:r>
      <w:r>
        <w:rPr>
          <w:rFonts w:ascii="宋体" w:hAnsi="宋体"/>
          <w:sz w:val="24"/>
        </w:rPr>
        <w:t>010</w:t>
      </w:r>
      <w:r>
        <w:rPr>
          <w:rFonts w:ascii="宋体" w:hAnsi="宋体" w:hint="eastAsia"/>
          <w:sz w:val="24"/>
        </w:rPr>
        <w:t>）</w:t>
      </w:r>
      <w:r>
        <w:rPr>
          <w:rFonts w:ascii="宋体" w:hAnsi="宋体"/>
          <w:sz w:val="24"/>
        </w:rPr>
        <w:t>6610</w:t>
      </w:r>
      <w:r>
        <w:rPr>
          <w:rFonts w:ascii="宋体" w:hAnsi="宋体" w:hint="eastAsia"/>
          <w:sz w:val="24"/>
        </w:rPr>
        <w:t>5798</w:t>
      </w:r>
    </w:p>
    <w:p w:rsidR="00A674F9" w:rsidRDefault="00CD789A">
      <w:pPr>
        <w:spacing w:line="360" w:lineRule="auto"/>
        <w:ind w:firstLineChars="200" w:firstLine="480"/>
        <w:rPr>
          <w:rFonts w:ascii="宋体" w:hAnsi="宋体"/>
          <w:sz w:val="24"/>
        </w:rPr>
      </w:pPr>
      <w:r>
        <w:rPr>
          <w:rFonts w:ascii="宋体" w:hAnsi="宋体" w:hint="eastAsia"/>
          <w:sz w:val="24"/>
        </w:rPr>
        <w:t>联系人：赵会军</w:t>
      </w:r>
    </w:p>
    <w:p w:rsidR="00A674F9" w:rsidRDefault="00CD789A">
      <w:pPr>
        <w:spacing w:line="360" w:lineRule="auto"/>
        <w:ind w:firstLineChars="200" w:firstLine="480"/>
        <w:rPr>
          <w:rFonts w:ascii="宋体" w:hAnsi="宋体"/>
          <w:sz w:val="24"/>
        </w:rPr>
      </w:pPr>
      <w:r>
        <w:rPr>
          <w:rFonts w:ascii="宋体" w:hAnsi="宋体" w:hint="eastAsia"/>
          <w:sz w:val="24"/>
        </w:rPr>
        <w:t>成立时间：</w:t>
      </w:r>
      <w:r>
        <w:rPr>
          <w:rFonts w:ascii="宋体" w:hAnsi="宋体"/>
          <w:sz w:val="24"/>
        </w:rPr>
        <w:t>1984</w:t>
      </w:r>
      <w:r>
        <w:rPr>
          <w:rFonts w:ascii="宋体" w:hAnsi="宋体" w:hint="eastAsia"/>
          <w:sz w:val="24"/>
        </w:rPr>
        <w:t>年</w:t>
      </w:r>
      <w:r>
        <w:rPr>
          <w:rFonts w:ascii="宋体" w:hAnsi="宋体"/>
          <w:sz w:val="24"/>
        </w:rPr>
        <w:t>1</w:t>
      </w:r>
      <w:r>
        <w:rPr>
          <w:rFonts w:ascii="宋体" w:hAnsi="宋体" w:hint="eastAsia"/>
          <w:sz w:val="24"/>
        </w:rPr>
        <w:t>月</w:t>
      </w:r>
      <w:r>
        <w:rPr>
          <w:rFonts w:ascii="宋体" w:hAnsi="宋体"/>
          <w:sz w:val="24"/>
        </w:rPr>
        <w:t>1</w:t>
      </w:r>
      <w:r>
        <w:rPr>
          <w:rFonts w:ascii="宋体" w:hAnsi="宋体" w:hint="eastAsia"/>
          <w:sz w:val="24"/>
        </w:rPr>
        <w:t>日</w:t>
      </w:r>
    </w:p>
    <w:p w:rsidR="00A674F9" w:rsidRDefault="00CD789A">
      <w:pPr>
        <w:spacing w:line="360" w:lineRule="auto"/>
        <w:ind w:firstLineChars="200" w:firstLine="480"/>
        <w:rPr>
          <w:rFonts w:ascii="宋体" w:hAnsi="宋体"/>
          <w:sz w:val="24"/>
        </w:rPr>
      </w:pPr>
      <w:r>
        <w:rPr>
          <w:rFonts w:ascii="宋体" w:hAnsi="宋体" w:hint="eastAsia"/>
          <w:sz w:val="24"/>
        </w:rPr>
        <w:t>组织形式：股份有限公司</w:t>
      </w:r>
    </w:p>
    <w:p w:rsidR="00A674F9" w:rsidRDefault="00CD789A">
      <w:pPr>
        <w:spacing w:line="360" w:lineRule="auto"/>
        <w:ind w:firstLineChars="200" w:firstLine="480"/>
        <w:rPr>
          <w:rFonts w:ascii="宋体" w:hAnsi="宋体"/>
          <w:sz w:val="24"/>
        </w:rPr>
      </w:pPr>
      <w:r>
        <w:rPr>
          <w:rFonts w:ascii="宋体" w:hAnsi="宋体" w:hint="eastAsia"/>
          <w:sz w:val="24"/>
        </w:rPr>
        <w:t>注册资本：人民币</w:t>
      </w:r>
      <w:r>
        <w:rPr>
          <w:rFonts w:ascii="宋体" w:hAnsi="宋体" w:hint="eastAsia"/>
          <w:sz w:val="24"/>
        </w:rPr>
        <w:t>349,018,545,827</w:t>
      </w:r>
      <w:r>
        <w:rPr>
          <w:rFonts w:ascii="宋体" w:hAnsi="宋体" w:hint="eastAsia"/>
          <w:sz w:val="24"/>
        </w:rPr>
        <w:t>元</w:t>
      </w:r>
    </w:p>
    <w:p w:rsidR="00A674F9" w:rsidRDefault="00CD789A">
      <w:pPr>
        <w:spacing w:line="360" w:lineRule="auto"/>
        <w:ind w:firstLineChars="200" w:firstLine="480"/>
        <w:rPr>
          <w:rFonts w:ascii="宋体" w:hAnsi="宋体"/>
          <w:sz w:val="24"/>
          <w:szCs w:val="21"/>
        </w:rPr>
      </w:pPr>
      <w:r>
        <w:rPr>
          <w:rFonts w:ascii="宋体" w:hAnsi="宋体" w:hint="eastAsia"/>
          <w:sz w:val="24"/>
        </w:rPr>
        <w:t>批准设立机关和设立文号：国务院《关于中国人民银行专门行使中央银行职能的决定》</w:t>
      </w:r>
      <w:r>
        <w:rPr>
          <w:rFonts w:ascii="宋体" w:hAnsi="宋体" w:hint="eastAsia"/>
          <w:sz w:val="24"/>
          <w:szCs w:val="21"/>
        </w:rPr>
        <w:t>（国发</w:t>
      </w:r>
      <w:r>
        <w:rPr>
          <w:rFonts w:ascii="宋体" w:hAnsi="宋体" w:hint="eastAsia"/>
          <w:sz w:val="24"/>
          <w:szCs w:val="21"/>
        </w:rPr>
        <w:t>[1983]146</w:t>
      </w:r>
      <w:r>
        <w:rPr>
          <w:rFonts w:ascii="宋体" w:hAnsi="宋体" w:hint="eastAsia"/>
          <w:sz w:val="24"/>
          <w:szCs w:val="21"/>
        </w:rPr>
        <w:t>号）</w:t>
      </w:r>
    </w:p>
    <w:p w:rsidR="00A674F9" w:rsidRDefault="00CD789A">
      <w:pPr>
        <w:spacing w:line="360" w:lineRule="auto"/>
        <w:ind w:firstLineChars="200" w:firstLine="480"/>
        <w:rPr>
          <w:rFonts w:ascii="宋体" w:hAnsi="宋体"/>
          <w:sz w:val="24"/>
        </w:rPr>
      </w:pPr>
      <w:r>
        <w:rPr>
          <w:rFonts w:ascii="宋体" w:hAnsi="宋体" w:hint="eastAsia"/>
          <w:sz w:val="24"/>
        </w:rPr>
        <w:t>存续期间：持续经营</w:t>
      </w:r>
    </w:p>
    <w:p w:rsidR="00A674F9" w:rsidRDefault="00CD789A">
      <w:pPr>
        <w:spacing w:line="360" w:lineRule="auto"/>
        <w:ind w:firstLineChars="200" w:firstLine="480"/>
        <w:rPr>
          <w:rFonts w:ascii="宋体" w:hAnsi="宋体"/>
          <w:sz w:val="24"/>
        </w:rPr>
      </w:pPr>
      <w:r>
        <w:rPr>
          <w:rFonts w:ascii="宋体" w:hAnsi="宋体" w:hint="eastAsia"/>
          <w:sz w:val="24"/>
        </w:rPr>
        <w:lastRenderedPageBreak/>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w:t>
      </w:r>
      <w:r>
        <w:rPr>
          <w:rFonts w:ascii="宋体" w:hAnsi="宋体" w:hint="eastAsia"/>
          <w:sz w:val="24"/>
        </w:rPr>
        <w:t>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rsidR="00A674F9" w:rsidRDefault="00CD789A">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33" w:name="_Toc48703887"/>
      <w:bookmarkStart w:id="34" w:name="_Toc140002337"/>
      <w:bookmarkStart w:id="35" w:name="_Toc523829993"/>
      <w:bookmarkStart w:id="36" w:name="_Toc22454435"/>
      <w:bookmarkStart w:id="37" w:name="_Toc124749226"/>
      <w:bookmarkStart w:id="38" w:name="_Toc123626168"/>
      <w:bookmarkStart w:id="39" w:name="_Toc125361074"/>
      <w:bookmarkStart w:id="40" w:name="_Toc466788852"/>
      <w:bookmarkStart w:id="41" w:name="_Toc124749937"/>
      <w:r>
        <w:rPr>
          <w:rFonts w:ascii="宋体" w:hAnsi="宋体" w:cs="Arial" w:hint="eastAsia"/>
          <w:sz w:val="30"/>
        </w:rPr>
        <w:t>基金托管协议的依据、目的和原则</w:t>
      </w:r>
      <w:bookmarkEnd w:id="33"/>
      <w:bookmarkEnd w:id="34"/>
      <w:bookmarkEnd w:id="35"/>
      <w:bookmarkEnd w:id="36"/>
      <w:bookmarkEnd w:id="37"/>
      <w:bookmarkEnd w:id="38"/>
      <w:bookmarkEnd w:id="39"/>
      <w:bookmarkEnd w:id="40"/>
      <w:bookmarkEnd w:id="41"/>
    </w:p>
    <w:p w:rsidR="00A674F9" w:rsidRDefault="00CD789A">
      <w:pPr>
        <w:spacing w:line="360" w:lineRule="auto"/>
        <w:ind w:firstLineChars="200" w:firstLine="480"/>
        <w:rPr>
          <w:rFonts w:ascii="宋体" w:hAnsi="宋体"/>
          <w:sz w:val="24"/>
        </w:rPr>
      </w:pPr>
      <w:r>
        <w:rPr>
          <w:rFonts w:ascii="宋体" w:hAnsi="宋体" w:hint="eastAsia"/>
          <w:sz w:val="24"/>
        </w:rPr>
        <w:t>订立本协议的依据是《中华人民共和国证券投资基金法》（以下简称《基金法》）、《公开募集证券投资基金运作管理办法》（以下简称《运作办法》）、《证券投资基金销售管理办法》（以下简称《销售办法》）、《</w:t>
      </w:r>
      <w:r>
        <w:rPr>
          <w:rFonts w:ascii="宋体" w:hAnsi="宋体" w:hint="eastAsia"/>
          <w:sz w:val="24"/>
        </w:rPr>
        <w:t>公开募集</w:t>
      </w:r>
      <w:r>
        <w:rPr>
          <w:rFonts w:ascii="宋体" w:hAnsi="宋体" w:hint="eastAsia"/>
          <w:sz w:val="24"/>
        </w:rPr>
        <w:t>证券投资基金信息披露管理办法》（以下简称《信息披露办法》）、《证券投资基金信息披露内容与格式准则第</w:t>
      </w:r>
      <w:r>
        <w:rPr>
          <w:rFonts w:ascii="宋体" w:hAnsi="宋体" w:hint="eastAsia"/>
          <w:sz w:val="24"/>
        </w:rPr>
        <w:t>7</w:t>
      </w:r>
      <w:r>
        <w:rPr>
          <w:rFonts w:ascii="宋体" w:hAnsi="宋体" w:hint="eastAsia"/>
          <w:sz w:val="24"/>
        </w:rPr>
        <w:t>号〈托管协议的内容与格式〉》、</w:t>
      </w:r>
      <w:r>
        <w:rPr>
          <w:rFonts w:hint="eastAsia"/>
          <w:bCs/>
          <w:sz w:val="24"/>
        </w:rPr>
        <w:t>《公开募集开放式证券投资基金流动性风险管理规定》、</w:t>
      </w:r>
      <w:r>
        <w:rPr>
          <w:rFonts w:ascii="宋体" w:hAnsi="宋体" w:hint="eastAsia"/>
          <w:sz w:val="24"/>
        </w:rPr>
        <w:t>《财通成长优选混合型证券投资基金基金合同》（以下简称《基金合同》）及其他有关规定。</w:t>
      </w:r>
    </w:p>
    <w:p w:rsidR="00A674F9" w:rsidRDefault="00CD789A">
      <w:pPr>
        <w:spacing w:line="360" w:lineRule="auto"/>
        <w:ind w:firstLineChars="200" w:firstLine="480"/>
        <w:rPr>
          <w:rFonts w:ascii="宋体" w:hAnsi="宋体"/>
          <w:sz w:val="24"/>
        </w:rPr>
      </w:pPr>
      <w:r>
        <w:rPr>
          <w:rFonts w:ascii="宋体" w:hAnsi="宋体" w:hint="eastAsia"/>
          <w:sz w:val="24"/>
        </w:rPr>
        <w:t>订立本协议的目的是明确基金托管人与基金管理人之间</w:t>
      </w:r>
      <w:r>
        <w:rPr>
          <w:rFonts w:ascii="宋体" w:hAnsi="宋体" w:hint="eastAsia"/>
          <w:sz w:val="24"/>
        </w:rPr>
        <w:t>在基金财产的保管、投资运作、净值计算、收益分配、信息披露及相互监督等有关事宜中的权利、义务及职责，确保基金财产的安全，保护基金份额持有人的合法权益。</w:t>
      </w:r>
    </w:p>
    <w:p w:rsidR="00A674F9" w:rsidRDefault="00CD789A">
      <w:pPr>
        <w:spacing w:line="360" w:lineRule="auto"/>
        <w:ind w:firstLineChars="200" w:firstLine="480"/>
        <w:rPr>
          <w:rFonts w:ascii="宋体" w:hAnsi="宋体"/>
          <w:sz w:val="24"/>
        </w:rPr>
      </w:pPr>
      <w:r>
        <w:rPr>
          <w:rFonts w:ascii="宋体" w:hAnsi="宋体" w:hint="eastAsia"/>
          <w:sz w:val="24"/>
        </w:rPr>
        <w:t>基金管理人和基金托管人本着平等自愿、诚实信用、充分保护基金份额持有人合法权益的原则，经协商一致，签订本协议。</w:t>
      </w:r>
    </w:p>
    <w:p w:rsidR="00A674F9" w:rsidRDefault="00CD789A">
      <w:pPr>
        <w:spacing w:after="120" w:line="360" w:lineRule="auto"/>
        <w:ind w:firstLineChars="200" w:firstLine="480"/>
        <w:rPr>
          <w:rFonts w:ascii="宋体" w:hAnsi="宋体"/>
          <w:sz w:val="24"/>
        </w:rPr>
      </w:pPr>
      <w:r>
        <w:rPr>
          <w:rFonts w:ascii="宋体" w:hAnsi="宋体" w:hint="eastAsia"/>
          <w:sz w:val="24"/>
        </w:rPr>
        <w:t>除非本协议另有约定，本协议所使用的词语或简称与其在《基金合同》的释义部分具有相同含义。若有抵触应以《基金合同》为准，并依其条款解释。</w:t>
      </w:r>
    </w:p>
    <w:p w:rsidR="00A674F9" w:rsidRDefault="00A674F9">
      <w:pPr>
        <w:spacing w:line="360" w:lineRule="auto"/>
        <w:ind w:firstLineChars="200" w:firstLine="480"/>
        <w:rPr>
          <w:rFonts w:ascii="宋体" w:hAnsi="宋体"/>
          <w:sz w:val="24"/>
        </w:rPr>
      </w:pPr>
    </w:p>
    <w:p w:rsidR="00A674F9" w:rsidRDefault="00CD789A">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42" w:name="_Toc124749227"/>
      <w:bookmarkStart w:id="43" w:name="_Toc125361075"/>
      <w:bookmarkStart w:id="44" w:name="_Toc140002338"/>
      <w:bookmarkStart w:id="45" w:name="_Toc124749938"/>
      <w:bookmarkEnd w:id="0"/>
      <w:bookmarkEnd w:id="1"/>
      <w:bookmarkEnd w:id="2"/>
      <w:bookmarkEnd w:id="3"/>
      <w:r>
        <w:rPr>
          <w:rFonts w:ascii="宋体" w:hAnsi="宋体" w:cs="Arial" w:hint="eastAsia"/>
          <w:sz w:val="30"/>
        </w:rPr>
        <w:t>基金托管人对基金管理人的业务监督和核查</w:t>
      </w:r>
      <w:bookmarkEnd w:id="42"/>
      <w:bookmarkEnd w:id="43"/>
      <w:bookmarkEnd w:id="44"/>
      <w:bookmarkEnd w:id="45"/>
    </w:p>
    <w:p w:rsidR="00A674F9" w:rsidRDefault="00CD789A" w:rsidP="00CA205C">
      <w:pPr>
        <w:pStyle w:val="2"/>
        <w:keepNext w:val="0"/>
        <w:keepLines w:val="0"/>
        <w:autoSpaceDE w:val="0"/>
        <w:autoSpaceDN w:val="0"/>
        <w:adjustRightInd w:val="0"/>
        <w:spacing w:beforeLines="50" w:afterLines="50"/>
        <w:ind w:firstLineChars="150" w:firstLine="360"/>
        <w:textAlignment w:val="baseline"/>
        <w:rPr>
          <w:rFonts w:ascii="宋体" w:eastAsia="宋体" w:hAnsi="宋体"/>
          <w:b w:val="0"/>
          <w:sz w:val="24"/>
          <w:szCs w:val="21"/>
        </w:rPr>
      </w:pPr>
      <w:r>
        <w:rPr>
          <w:rFonts w:ascii="宋体" w:eastAsia="宋体" w:hAnsi="宋体" w:hint="eastAsia"/>
          <w:b w:val="0"/>
          <w:sz w:val="24"/>
          <w:szCs w:val="21"/>
        </w:rPr>
        <w:t>（一）基金托管人对基金管理人的投资行为行使监督权</w:t>
      </w:r>
    </w:p>
    <w:p w:rsidR="00A674F9" w:rsidRDefault="00CD789A">
      <w:pPr>
        <w:widowControl/>
        <w:spacing w:line="360" w:lineRule="auto"/>
        <w:ind w:firstLineChars="200" w:firstLine="480"/>
        <w:jc w:val="left"/>
        <w:rPr>
          <w:rFonts w:ascii="宋体" w:hAnsi="宋体"/>
          <w:sz w:val="24"/>
          <w:szCs w:val="21"/>
        </w:rPr>
      </w:pPr>
      <w:r>
        <w:rPr>
          <w:rFonts w:ascii="宋体" w:hAnsi="宋体" w:hint="eastAsia"/>
          <w:sz w:val="24"/>
          <w:szCs w:val="21"/>
        </w:rPr>
        <w:t>1</w:t>
      </w:r>
      <w:r>
        <w:rPr>
          <w:rFonts w:ascii="宋体" w:hAnsi="宋体" w:hint="eastAsia"/>
          <w:sz w:val="24"/>
          <w:szCs w:val="21"/>
        </w:rPr>
        <w:t>、基金托管人根据有关法律法规的规定和《基金合同》的约定，对下述基金投资范围、投资对象进行监督。</w:t>
      </w:r>
    </w:p>
    <w:p w:rsidR="00A674F9" w:rsidRDefault="00CD789A">
      <w:pPr>
        <w:widowControl/>
        <w:spacing w:line="324" w:lineRule="auto"/>
        <w:ind w:firstLineChars="200" w:firstLine="480"/>
        <w:jc w:val="left"/>
        <w:rPr>
          <w:rFonts w:ascii="宋体" w:hAnsi="宋体" w:cs="宋体"/>
          <w:kern w:val="0"/>
          <w:sz w:val="24"/>
        </w:rPr>
      </w:pPr>
      <w:r>
        <w:rPr>
          <w:rFonts w:ascii="宋体" w:hAnsi="宋体" w:hint="eastAsia"/>
          <w:sz w:val="24"/>
        </w:rPr>
        <w:t>本</w:t>
      </w:r>
      <w:r>
        <w:rPr>
          <w:rFonts w:ascii="宋体" w:hAnsi="宋体" w:cs="宋体" w:hint="eastAsia"/>
          <w:kern w:val="0"/>
          <w:sz w:val="24"/>
        </w:rPr>
        <w:t>基金将投资于以下金融工具：</w:t>
      </w:r>
    </w:p>
    <w:p w:rsidR="00A674F9" w:rsidRDefault="00CD789A">
      <w:pPr>
        <w:spacing w:line="360" w:lineRule="auto"/>
        <w:ind w:firstLineChars="200" w:firstLine="480"/>
        <w:rPr>
          <w:rFonts w:ascii="宋体" w:hAnsi="宋体"/>
          <w:sz w:val="24"/>
        </w:rPr>
      </w:pPr>
      <w:r>
        <w:rPr>
          <w:rFonts w:ascii="宋体" w:hAnsi="宋体" w:hint="eastAsia"/>
          <w:sz w:val="24"/>
        </w:rPr>
        <w:t>国内依法发行上市的股票（包括中小板、创业板及其他经中国证监会核准上市的股票）、股指期货、权证、债券、中期票据、短期融资券、资产支持证券、债券回购、银行存款、货币市场工具以及法律法规或中国证监会允许基金投资的其他金融工具，但须符合中国证监会相关规定。</w:t>
      </w:r>
    </w:p>
    <w:p w:rsidR="00A674F9" w:rsidRDefault="00CD789A">
      <w:pPr>
        <w:widowControl/>
        <w:spacing w:line="324" w:lineRule="auto"/>
        <w:ind w:firstLineChars="200" w:firstLine="480"/>
        <w:jc w:val="left"/>
        <w:rPr>
          <w:rFonts w:ascii="宋体" w:hAnsi="宋体" w:cs="宋体"/>
          <w:kern w:val="0"/>
          <w:sz w:val="24"/>
        </w:rPr>
      </w:pPr>
      <w:r>
        <w:rPr>
          <w:rFonts w:ascii="宋体" w:hAnsi="宋体"/>
          <w:kern w:val="0"/>
          <w:sz w:val="24"/>
        </w:rPr>
        <w:t>本基金不得投资于</w:t>
      </w:r>
      <w:r>
        <w:rPr>
          <w:rFonts w:ascii="宋体" w:hAnsi="宋体" w:hint="eastAsia"/>
          <w:kern w:val="0"/>
          <w:sz w:val="24"/>
        </w:rPr>
        <w:t>相关法律、法规、部门规章及《基金合同》禁止投资的投资工具</w:t>
      </w:r>
      <w:r>
        <w:rPr>
          <w:rFonts w:ascii="宋体" w:hAnsi="宋体"/>
          <w:kern w:val="0"/>
          <w:sz w:val="24"/>
        </w:rPr>
        <w:t>。</w:t>
      </w:r>
    </w:p>
    <w:p w:rsidR="00A674F9" w:rsidRDefault="00CD789A">
      <w:pPr>
        <w:spacing w:after="120" w:line="324" w:lineRule="auto"/>
        <w:ind w:firstLineChars="200" w:firstLine="480"/>
        <w:rPr>
          <w:rFonts w:ascii="宋体" w:hAnsi="宋体"/>
          <w:sz w:val="24"/>
          <w:szCs w:val="21"/>
        </w:rPr>
      </w:pPr>
      <w:r>
        <w:rPr>
          <w:rFonts w:ascii="宋体" w:hAnsi="宋体" w:hint="eastAsia"/>
          <w:sz w:val="24"/>
          <w:szCs w:val="21"/>
        </w:rPr>
        <w:t>2</w:t>
      </w:r>
      <w:r>
        <w:rPr>
          <w:rFonts w:ascii="宋体" w:hAnsi="宋体" w:hint="eastAsia"/>
          <w:sz w:val="24"/>
          <w:szCs w:val="21"/>
        </w:rPr>
        <w:t>、基金托管人根据有关法律法规的规定及《基金合同》的约定对</w:t>
      </w:r>
      <w:r>
        <w:rPr>
          <w:rFonts w:ascii="宋体" w:hAnsi="宋体" w:hint="eastAsia"/>
          <w:sz w:val="24"/>
          <w:szCs w:val="21"/>
        </w:rPr>
        <w:t>下述基金投融资比例进行监督：</w:t>
      </w:r>
    </w:p>
    <w:p w:rsidR="00A674F9" w:rsidRDefault="00CD789A">
      <w:pPr>
        <w:spacing w:line="324" w:lineRule="auto"/>
        <w:ind w:firstLine="480"/>
        <w:rPr>
          <w:rFonts w:ascii="宋体" w:hAnsi="宋体"/>
          <w:sz w:val="24"/>
          <w:szCs w:val="21"/>
        </w:rPr>
      </w:pPr>
      <w:r>
        <w:rPr>
          <w:rFonts w:ascii="宋体" w:hAnsi="宋体" w:hint="eastAsia"/>
          <w:sz w:val="24"/>
          <w:szCs w:val="21"/>
        </w:rPr>
        <w:t>（</w:t>
      </w:r>
      <w:r>
        <w:rPr>
          <w:rFonts w:ascii="宋体" w:hAnsi="宋体" w:hint="eastAsia"/>
          <w:sz w:val="24"/>
          <w:szCs w:val="21"/>
        </w:rPr>
        <w:t>1</w:t>
      </w:r>
      <w:r>
        <w:rPr>
          <w:rFonts w:ascii="宋体" w:hAnsi="宋体" w:hint="eastAsia"/>
          <w:sz w:val="24"/>
          <w:szCs w:val="21"/>
        </w:rPr>
        <w:t>）</w:t>
      </w:r>
      <w:r>
        <w:rPr>
          <w:rFonts w:ascii="宋体" w:hAnsi="宋体" w:hint="eastAsia"/>
          <w:sz w:val="24"/>
        </w:rPr>
        <w:t>按法律法规的规定及《基金合同》的约定，</w:t>
      </w:r>
      <w:r>
        <w:rPr>
          <w:rFonts w:ascii="宋体" w:hAnsi="宋体" w:hint="eastAsia"/>
          <w:sz w:val="24"/>
          <w:szCs w:val="21"/>
        </w:rPr>
        <w:t>本基金的投资资产配置比例为</w:t>
      </w:r>
      <w:r>
        <w:rPr>
          <w:rFonts w:hint="eastAsia"/>
          <w:sz w:val="24"/>
        </w:rPr>
        <w:t>：</w:t>
      </w:r>
    </w:p>
    <w:p w:rsidR="00A674F9" w:rsidRDefault="00CD789A">
      <w:pPr>
        <w:spacing w:line="360" w:lineRule="auto"/>
        <w:ind w:firstLineChars="200" w:firstLine="480"/>
        <w:rPr>
          <w:rFonts w:ascii="宋体" w:hAnsi="宋体"/>
          <w:sz w:val="24"/>
        </w:rPr>
      </w:pPr>
      <w:r>
        <w:rPr>
          <w:rFonts w:ascii="宋体" w:hAnsi="宋体" w:hint="eastAsia"/>
          <w:sz w:val="24"/>
        </w:rPr>
        <w:t>股票资产比例为基金资产的</w:t>
      </w:r>
      <w:r>
        <w:rPr>
          <w:rFonts w:ascii="宋体" w:hAnsi="宋体" w:hint="eastAsia"/>
          <w:sz w:val="24"/>
        </w:rPr>
        <w:t>30%</w:t>
      </w:r>
      <w:r>
        <w:rPr>
          <w:rFonts w:ascii="宋体" w:hAnsi="宋体" w:hint="eastAsia"/>
          <w:sz w:val="24"/>
        </w:rPr>
        <w:t>～</w:t>
      </w:r>
      <w:r>
        <w:rPr>
          <w:rFonts w:ascii="宋体" w:hAnsi="宋体" w:hint="eastAsia"/>
          <w:sz w:val="24"/>
        </w:rPr>
        <w:t>95%</w:t>
      </w:r>
      <w:r>
        <w:rPr>
          <w:rFonts w:ascii="宋体" w:hAnsi="宋体" w:hint="eastAsia"/>
          <w:sz w:val="24"/>
        </w:rPr>
        <w:t>；股票市值和买入、卖出股指期货合约价值，合计（轧差计算）为基金资产的</w:t>
      </w:r>
      <w:r>
        <w:rPr>
          <w:rFonts w:ascii="宋体" w:hAnsi="宋体" w:hint="eastAsia"/>
          <w:sz w:val="24"/>
        </w:rPr>
        <w:t>30%</w:t>
      </w:r>
      <w:r>
        <w:rPr>
          <w:rFonts w:ascii="宋体" w:hAnsi="宋体" w:hint="eastAsia"/>
          <w:sz w:val="24"/>
        </w:rPr>
        <w:t>～</w:t>
      </w:r>
      <w:r>
        <w:rPr>
          <w:rFonts w:ascii="宋体" w:hAnsi="宋体" w:hint="eastAsia"/>
          <w:sz w:val="24"/>
        </w:rPr>
        <w:t>95%</w:t>
      </w:r>
      <w:r>
        <w:rPr>
          <w:rFonts w:ascii="宋体" w:hAnsi="宋体" w:hint="eastAsia"/>
          <w:sz w:val="24"/>
        </w:rPr>
        <w:t>；权证比例不高于基金资产净值的</w:t>
      </w:r>
      <w:r>
        <w:rPr>
          <w:rFonts w:ascii="宋体" w:hAnsi="宋体" w:hint="eastAsia"/>
          <w:sz w:val="24"/>
        </w:rPr>
        <w:t>3%</w:t>
      </w:r>
      <w:r>
        <w:rPr>
          <w:rFonts w:ascii="宋体" w:hAnsi="宋体" w:hint="eastAsia"/>
          <w:sz w:val="24"/>
        </w:rPr>
        <w:t>；债券、中期票据、短期融资券、资产支持证券、债券回购、银行存款、货币市场工具等固定收益品种的比例为基金资产净值的</w:t>
      </w:r>
      <w:r>
        <w:rPr>
          <w:rFonts w:ascii="宋体" w:hAnsi="宋体" w:hint="eastAsia"/>
          <w:sz w:val="24"/>
        </w:rPr>
        <w:t>0%</w:t>
      </w:r>
      <w:r>
        <w:rPr>
          <w:rFonts w:ascii="宋体" w:hAnsi="宋体" w:hint="eastAsia"/>
          <w:sz w:val="24"/>
        </w:rPr>
        <w:t>－</w:t>
      </w:r>
      <w:r>
        <w:rPr>
          <w:rFonts w:ascii="宋体" w:hAnsi="宋体" w:hint="eastAsia"/>
          <w:sz w:val="24"/>
        </w:rPr>
        <w:t>70%</w:t>
      </w:r>
      <w:r>
        <w:rPr>
          <w:rFonts w:ascii="宋体" w:hAnsi="宋体" w:hint="eastAsia"/>
          <w:sz w:val="24"/>
        </w:rPr>
        <w:t>；每个交易日日终在扣除股指期货合约需缴纳的交易保证金后，保持不低于基金资产净值</w:t>
      </w:r>
      <w:r>
        <w:rPr>
          <w:rFonts w:ascii="宋体" w:hAnsi="宋体" w:hint="eastAsia"/>
          <w:sz w:val="24"/>
        </w:rPr>
        <w:t>5%</w:t>
      </w:r>
      <w:r>
        <w:rPr>
          <w:rFonts w:ascii="宋体" w:hAnsi="宋体" w:hint="eastAsia"/>
          <w:sz w:val="24"/>
        </w:rPr>
        <w:t>的现金或到期日在一年以内的政府债券</w:t>
      </w:r>
      <w:r>
        <w:rPr>
          <w:rFonts w:hint="eastAsia"/>
          <w:bCs/>
          <w:sz w:val="24"/>
        </w:rPr>
        <w:t>，其中现金不包括结算备付金、存出保证金、应收申购款等</w:t>
      </w:r>
      <w:r>
        <w:rPr>
          <w:rFonts w:ascii="宋体" w:hAnsi="宋体" w:hint="eastAsia"/>
          <w:sz w:val="24"/>
        </w:rPr>
        <w:t>。</w:t>
      </w:r>
    </w:p>
    <w:p w:rsidR="00A674F9" w:rsidRDefault="00CD789A">
      <w:pPr>
        <w:spacing w:line="360" w:lineRule="auto"/>
        <w:ind w:firstLine="420"/>
        <w:rPr>
          <w:rFonts w:ascii="宋体" w:hAnsi="宋体"/>
          <w:sz w:val="24"/>
        </w:rPr>
      </w:pPr>
      <w:r>
        <w:rPr>
          <w:rFonts w:ascii="宋体" w:hAnsi="宋体" w:hint="eastAsia"/>
          <w:sz w:val="24"/>
        </w:rPr>
        <w:t>因基金规模或市场变化等因素导致投资组合不符合上述规定的，基金管理人应在合理的期限内调整基金的投资组合，以符合上述比例限定。法律法规另有规定时，从其规定。</w:t>
      </w:r>
    </w:p>
    <w:p w:rsidR="00A674F9" w:rsidRDefault="00CD789A">
      <w:pPr>
        <w:spacing w:line="360" w:lineRule="auto"/>
        <w:ind w:firstLine="420"/>
        <w:rPr>
          <w:rFonts w:ascii="宋体" w:hAnsi="宋体"/>
          <w:sz w:val="24"/>
        </w:rPr>
      </w:pPr>
      <w:r>
        <w:rPr>
          <w:rFonts w:ascii="宋体" w:hAnsi="宋体" w:hint="eastAsia"/>
          <w:sz w:val="24"/>
        </w:rPr>
        <w:t>如法律法规或监管机构以后允许本基金投资其他品种，基金管理人在履行适当程序后，可以将其纳入投资范围，并可依据届时有效的法律法规适时合理地调</w:t>
      </w:r>
      <w:r>
        <w:rPr>
          <w:rFonts w:ascii="宋体" w:hAnsi="宋体" w:hint="eastAsia"/>
          <w:sz w:val="24"/>
        </w:rPr>
        <w:lastRenderedPageBreak/>
        <w:t>整投资范围。</w:t>
      </w:r>
    </w:p>
    <w:p w:rsidR="00A674F9" w:rsidRDefault="00CD789A">
      <w:pPr>
        <w:spacing w:line="324" w:lineRule="auto"/>
        <w:ind w:firstLine="480"/>
        <w:rPr>
          <w:rFonts w:ascii="宋体" w:hAnsi="宋体"/>
          <w:sz w:val="24"/>
        </w:rPr>
      </w:pPr>
      <w:r>
        <w:rPr>
          <w:rFonts w:hint="eastAsia"/>
          <w:sz w:val="24"/>
        </w:rPr>
        <w:t>（</w:t>
      </w:r>
      <w:r>
        <w:rPr>
          <w:rFonts w:hint="eastAsia"/>
          <w:sz w:val="24"/>
        </w:rPr>
        <w:t>2</w:t>
      </w:r>
      <w:r>
        <w:rPr>
          <w:rFonts w:hint="eastAsia"/>
          <w:sz w:val="24"/>
        </w:rPr>
        <w:t>）</w:t>
      </w:r>
      <w:r>
        <w:rPr>
          <w:rFonts w:ascii="宋体" w:hAnsi="宋体" w:hint="eastAsia"/>
          <w:sz w:val="24"/>
        </w:rPr>
        <w:t>根据法律法规的规定及《基金合同》的约定，本基金投资组合遵循以下投资限制：</w:t>
      </w:r>
      <w:r>
        <w:rPr>
          <w:rFonts w:ascii="宋体" w:hAnsi="宋体" w:hint="eastAsia"/>
          <w:sz w:val="24"/>
        </w:rPr>
        <w:t xml:space="preserve"> </w:t>
      </w:r>
    </w:p>
    <w:p w:rsidR="00A674F9" w:rsidRDefault="00CD789A">
      <w:pPr>
        <w:spacing w:line="324" w:lineRule="auto"/>
        <w:ind w:firstLineChars="300" w:firstLine="720"/>
        <w:rPr>
          <w:rFonts w:ascii="宋体" w:hAnsi="宋体"/>
          <w:sz w:val="24"/>
        </w:rPr>
      </w:pPr>
      <w:r>
        <w:rPr>
          <w:rFonts w:ascii="宋体" w:hAnsi="宋体" w:hint="eastAsia"/>
          <w:sz w:val="24"/>
        </w:rPr>
        <w:t>a</w:t>
      </w:r>
      <w:r>
        <w:rPr>
          <w:rFonts w:ascii="宋体" w:hAnsi="宋体" w:hint="eastAsia"/>
          <w:sz w:val="24"/>
        </w:rPr>
        <w:t>、股票资产比例为基金资产的</w:t>
      </w:r>
      <w:r>
        <w:rPr>
          <w:rFonts w:ascii="宋体" w:hAnsi="宋体" w:hint="eastAsia"/>
          <w:sz w:val="24"/>
        </w:rPr>
        <w:t>30%</w:t>
      </w:r>
      <w:r>
        <w:rPr>
          <w:rFonts w:ascii="宋体" w:hAnsi="宋体" w:hint="eastAsia"/>
          <w:sz w:val="24"/>
        </w:rPr>
        <w:t>～</w:t>
      </w:r>
      <w:r>
        <w:rPr>
          <w:rFonts w:ascii="宋体" w:hAnsi="宋体" w:hint="eastAsia"/>
          <w:sz w:val="24"/>
        </w:rPr>
        <w:t>95%</w:t>
      </w:r>
      <w:r>
        <w:rPr>
          <w:rFonts w:ascii="宋体" w:hAnsi="宋体" w:hint="eastAsia"/>
          <w:sz w:val="24"/>
        </w:rPr>
        <w:t>；股票市值和买入、卖出股指期</w:t>
      </w:r>
      <w:r>
        <w:rPr>
          <w:rFonts w:ascii="宋体" w:hAnsi="宋体" w:hint="eastAsia"/>
          <w:sz w:val="24"/>
        </w:rPr>
        <w:t>货合约价值，合计（轧差计算）为基金资产的</w:t>
      </w:r>
      <w:r>
        <w:rPr>
          <w:rFonts w:ascii="宋体" w:hAnsi="宋体" w:hint="eastAsia"/>
          <w:sz w:val="24"/>
        </w:rPr>
        <w:t>30%</w:t>
      </w:r>
      <w:r>
        <w:rPr>
          <w:rFonts w:ascii="宋体" w:hAnsi="宋体" w:hint="eastAsia"/>
          <w:sz w:val="24"/>
        </w:rPr>
        <w:t>～</w:t>
      </w:r>
      <w:r>
        <w:rPr>
          <w:rFonts w:ascii="宋体" w:hAnsi="宋体" w:hint="eastAsia"/>
          <w:sz w:val="24"/>
        </w:rPr>
        <w:t>95%</w:t>
      </w:r>
      <w:r>
        <w:rPr>
          <w:rFonts w:ascii="宋体" w:hAnsi="宋体" w:hint="eastAsia"/>
          <w:sz w:val="24"/>
        </w:rPr>
        <w:t>；债券、中期票据、短期融资券、资产支持证券、债券回购、银行存款、货币市场工具等固定收益品种的比例为基金资产净值的</w:t>
      </w:r>
      <w:r>
        <w:rPr>
          <w:rFonts w:ascii="宋体" w:hAnsi="宋体" w:hint="eastAsia"/>
          <w:sz w:val="24"/>
        </w:rPr>
        <w:t>0%</w:t>
      </w:r>
      <w:r>
        <w:rPr>
          <w:rFonts w:ascii="宋体" w:hAnsi="宋体" w:hint="eastAsia"/>
          <w:sz w:val="24"/>
        </w:rPr>
        <w:t>－</w:t>
      </w:r>
      <w:r>
        <w:rPr>
          <w:rFonts w:ascii="宋体" w:hAnsi="宋体" w:hint="eastAsia"/>
          <w:sz w:val="24"/>
        </w:rPr>
        <w:t>70%</w:t>
      </w:r>
      <w:r>
        <w:rPr>
          <w:rFonts w:ascii="宋体" w:hAnsi="宋体" w:hint="eastAsia"/>
          <w:sz w:val="24"/>
        </w:rPr>
        <w:t>；</w:t>
      </w:r>
    </w:p>
    <w:p w:rsidR="00A674F9" w:rsidRDefault="00CD789A">
      <w:pPr>
        <w:spacing w:line="324" w:lineRule="auto"/>
        <w:ind w:firstLineChars="300" w:firstLine="720"/>
        <w:rPr>
          <w:rFonts w:ascii="宋体" w:hAnsi="宋体"/>
          <w:sz w:val="24"/>
        </w:rPr>
      </w:pPr>
      <w:r>
        <w:rPr>
          <w:rFonts w:ascii="宋体" w:hAnsi="宋体" w:hint="eastAsia"/>
          <w:sz w:val="24"/>
        </w:rPr>
        <w:t>b</w:t>
      </w:r>
      <w:r>
        <w:rPr>
          <w:rFonts w:ascii="宋体" w:hAnsi="宋体" w:hint="eastAsia"/>
          <w:sz w:val="24"/>
        </w:rPr>
        <w:t>、每个交易日日终在扣除股指期货合约需缴纳的交易保证金后，保持不低于基金资产净值</w:t>
      </w:r>
      <w:r>
        <w:rPr>
          <w:rFonts w:ascii="宋体" w:hAnsi="宋体" w:hint="eastAsia"/>
          <w:sz w:val="24"/>
        </w:rPr>
        <w:t>5%</w:t>
      </w:r>
      <w:r>
        <w:rPr>
          <w:rFonts w:ascii="宋体" w:hAnsi="宋体" w:hint="eastAsia"/>
          <w:sz w:val="24"/>
        </w:rPr>
        <w:t>的现金或到期日在一年以内的政府债券</w:t>
      </w:r>
      <w:r>
        <w:rPr>
          <w:rFonts w:hint="eastAsia"/>
          <w:bCs/>
          <w:sz w:val="24"/>
        </w:rPr>
        <w:t>，其中现金不包括结算备付金、存出保证金、应收申购款等</w:t>
      </w:r>
      <w:r>
        <w:rPr>
          <w:rFonts w:ascii="宋体" w:hAnsi="宋体" w:hint="eastAsia"/>
          <w:sz w:val="24"/>
        </w:rPr>
        <w:t>；</w:t>
      </w:r>
    </w:p>
    <w:p w:rsidR="00A674F9" w:rsidRDefault="00CD789A">
      <w:pPr>
        <w:spacing w:line="324" w:lineRule="auto"/>
        <w:ind w:firstLineChars="300" w:firstLine="720"/>
        <w:rPr>
          <w:rFonts w:ascii="宋体" w:hAnsi="宋体"/>
          <w:sz w:val="24"/>
        </w:rPr>
      </w:pPr>
      <w:r>
        <w:rPr>
          <w:rFonts w:ascii="宋体" w:hAnsi="宋体" w:hint="eastAsia"/>
          <w:sz w:val="24"/>
        </w:rPr>
        <w:t>c</w:t>
      </w:r>
      <w:r>
        <w:rPr>
          <w:rFonts w:ascii="宋体" w:hAnsi="宋体" w:hint="eastAsia"/>
          <w:sz w:val="24"/>
        </w:rPr>
        <w:t>、</w:t>
      </w:r>
      <w:r>
        <w:rPr>
          <w:rFonts w:ascii="宋体" w:hAnsi="宋体" w:cs="楷体_GB2312" w:hint="eastAsia"/>
          <w:sz w:val="24"/>
          <w:szCs w:val="28"/>
        </w:rPr>
        <w:t>本基金持有一家公司发行的证券，其市值不超过基金资产净值的</w:t>
      </w:r>
      <w:r>
        <w:rPr>
          <w:rFonts w:ascii="宋体" w:hAnsi="宋体" w:cs="楷体_GB2312" w:hint="eastAsia"/>
          <w:sz w:val="24"/>
          <w:szCs w:val="28"/>
        </w:rPr>
        <w:t>10</w:t>
      </w:r>
      <w:r>
        <w:rPr>
          <w:rFonts w:ascii="宋体" w:hAnsi="宋体" w:cs="楷体_GB2312" w:hint="eastAsia"/>
          <w:sz w:val="24"/>
          <w:szCs w:val="28"/>
        </w:rPr>
        <w:t>％；</w:t>
      </w:r>
    </w:p>
    <w:p w:rsidR="00A674F9" w:rsidRDefault="00CD789A">
      <w:pPr>
        <w:spacing w:line="324" w:lineRule="auto"/>
        <w:ind w:firstLineChars="300" w:firstLine="720"/>
        <w:rPr>
          <w:rFonts w:ascii="宋体" w:hAnsi="宋体"/>
          <w:sz w:val="24"/>
        </w:rPr>
      </w:pPr>
      <w:r>
        <w:rPr>
          <w:rFonts w:ascii="宋体" w:hAnsi="宋体" w:hint="eastAsia"/>
          <w:sz w:val="24"/>
        </w:rPr>
        <w:t>d</w:t>
      </w:r>
      <w:r>
        <w:rPr>
          <w:rFonts w:ascii="宋体" w:hAnsi="宋体" w:hint="eastAsia"/>
          <w:sz w:val="24"/>
        </w:rPr>
        <w:t>、</w:t>
      </w:r>
      <w:r>
        <w:rPr>
          <w:rFonts w:hint="eastAsia"/>
          <w:sz w:val="24"/>
        </w:rPr>
        <w:t>本基金管理人管理且由本基金托管人托管的全部基金持有一家公司发行的证券，不超过该证券</w:t>
      </w:r>
      <w:r>
        <w:rPr>
          <w:rFonts w:hint="eastAsia"/>
          <w:sz w:val="24"/>
        </w:rPr>
        <w:t>的</w:t>
      </w:r>
      <w:r>
        <w:rPr>
          <w:rFonts w:hint="eastAsia"/>
          <w:sz w:val="24"/>
        </w:rPr>
        <w:t>10</w:t>
      </w:r>
      <w:r>
        <w:rPr>
          <w:rFonts w:hint="eastAsia"/>
          <w:sz w:val="24"/>
        </w:rPr>
        <w:t>％；</w:t>
      </w:r>
    </w:p>
    <w:p w:rsidR="00A674F9" w:rsidRDefault="00CD789A">
      <w:pPr>
        <w:spacing w:line="324" w:lineRule="auto"/>
        <w:ind w:firstLine="720"/>
        <w:rPr>
          <w:sz w:val="24"/>
        </w:rPr>
      </w:pPr>
      <w:r>
        <w:rPr>
          <w:rFonts w:ascii="宋体" w:hAnsi="宋体" w:hint="eastAsia"/>
          <w:sz w:val="24"/>
        </w:rPr>
        <w:t>e</w:t>
      </w:r>
      <w:r>
        <w:rPr>
          <w:rFonts w:ascii="宋体" w:hAnsi="宋体" w:hint="eastAsia"/>
          <w:sz w:val="24"/>
        </w:rPr>
        <w:t>、</w:t>
      </w:r>
      <w:r>
        <w:rPr>
          <w:rFonts w:hint="eastAsia"/>
          <w:sz w:val="24"/>
        </w:rPr>
        <w:t>本基金持有的全部权证，其市值不得超过基金资产净值的</w:t>
      </w:r>
      <w:r>
        <w:rPr>
          <w:rFonts w:hint="eastAsia"/>
          <w:sz w:val="24"/>
        </w:rPr>
        <w:t>3</w:t>
      </w:r>
      <w:r>
        <w:rPr>
          <w:rFonts w:hint="eastAsia"/>
          <w:sz w:val="24"/>
        </w:rPr>
        <w:t>％；</w:t>
      </w:r>
    </w:p>
    <w:p w:rsidR="00A674F9" w:rsidRDefault="00CD789A">
      <w:pPr>
        <w:spacing w:line="324" w:lineRule="auto"/>
        <w:ind w:firstLine="720"/>
        <w:rPr>
          <w:sz w:val="24"/>
        </w:rPr>
      </w:pPr>
      <w:r>
        <w:rPr>
          <w:rFonts w:hint="eastAsia"/>
          <w:sz w:val="24"/>
        </w:rPr>
        <w:t>f</w:t>
      </w:r>
      <w:r>
        <w:rPr>
          <w:rFonts w:hint="eastAsia"/>
          <w:sz w:val="24"/>
        </w:rPr>
        <w:t>、本基金管理人管理且由本基金托管人托管的全部基金持有的同一权证，不得超过该权证的</w:t>
      </w:r>
      <w:r>
        <w:rPr>
          <w:rFonts w:hint="eastAsia"/>
          <w:sz w:val="24"/>
        </w:rPr>
        <w:t>10</w:t>
      </w:r>
      <w:r>
        <w:rPr>
          <w:rFonts w:hint="eastAsia"/>
          <w:sz w:val="24"/>
        </w:rPr>
        <w:t>％；</w:t>
      </w:r>
    </w:p>
    <w:p w:rsidR="00A674F9" w:rsidRDefault="00CD789A">
      <w:pPr>
        <w:spacing w:line="324" w:lineRule="auto"/>
        <w:ind w:firstLine="720"/>
        <w:rPr>
          <w:sz w:val="24"/>
        </w:rPr>
      </w:pPr>
      <w:r>
        <w:rPr>
          <w:rFonts w:hint="eastAsia"/>
          <w:sz w:val="24"/>
        </w:rPr>
        <w:t>g</w:t>
      </w:r>
      <w:r>
        <w:rPr>
          <w:rFonts w:hint="eastAsia"/>
          <w:sz w:val="24"/>
        </w:rPr>
        <w:t>、</w:t>
      </w:r>
      <w:r>
        <w:rPr>
          <w:rFonts w:ascii="宋体" w:hAnsi="宋体" w:hint="eastAsia"/>
          <w:sz w:val="24"/>
        </w:rPr>
        <w:t>本基金在任何交易日买入权证的总金额，不得超过上一交易日基金资产净值的</w:t>
      </w:r>
      <w:r>
        <w:rPr>
          <w:rFonts w:ascii="宋体" w:hAnsi="宋体" w:hint="eastAsia"/>
          <w:sz w:val="24"/>
        </w:rPr>
        <w:t>0.5</w:t>
      </w:r>
      <w:r>
        <w:rPr>
          <w:rFonts w:ascii="宋体" w:hAnsi="宋体" w:hint="eastAsia"/>
          <w:sz w:val="24"/>
        </w:rPr>
        <w:t>％；</w:t>
      </w:r>
    </w:p>
    <w:p w:rsidR="00A674F9" w:rsidRDefault="00CD789A">
      <w:pPr>
        <w:spacing w:line="324" w:lineRule="auto"/>
        <w:ind w:firstLine="720"/>
        <w:rPr>
          <w:rFonts w:ascii="宋体"/>
          <w:sz w:val="24"/>
        </w:rPr>
      </w:pPr>
      <w:r>
        <w:rPr>
          <w:rFonts w:hint="eastAsia"/>
          <w:sz w:val="24"/>
        </w:rPr>
        <w:t>h</w:t>
      </w:r>
      <w:r>
        <w:rPr>
          <w:rFonts w:hint="eastAsia"/>
          <w:sz w:val="24"/>
        </w:rPr>
        <w:t>、</w:t>
      </w:r>
      <w:r>
        <w:rPr>
          <w:rFonts w:ascii="宋体" w:hint="eastAsia"/>
          <w:sz w:val="24"/>
        </w:rPr>
        <w:t>本基金投资于同一原始权益人的各类资产支持证券的比例，不得超过基金资产净值的</w:t>
      </w:r>
      <w:r>
        <w:rPr>
          <w:rFonts w:ascii="宋体" w:hint="eastAsia"/>
          <w:sz w:val="24"/>
        </w:rPr>
        <w:t>10</w:t>
      </w:r>
      <w:r>
        <w:rPr>
          <w:rFonts w:ascii="宋体" w:hint="eastAsia"/>
          <w:sz w:val="24"/>
        </w:rPr>
        <w:t>％；</w:t>
      </w:r>
    </w:p>
    <w:p w:rsidR="00A674F9" w:rsidRDefault="00CD789A">
      <w:pPr>
        <w:spacing w:line="324" w:lineRule="auto"/>
        <w:ind w:firstLine="720"/>
        <w:rPr>
          <w:rFonts w:ascii="宋体"/>
          <w:sz w:val="24"/>
        </w:rPr>
      </w:pPr>
      <w:r>
        <w:rPr>
          <w:rFonts w:ascii="宋体" w:hint="eastAsia"/>
          <w:sz w:val="24"/>
        </w:rPr>
        <w:t>i</w:t>
      </w:r>
      <w:r>
        <w:rPr>
          <w:rFonts w:ascii="宋体" w:hint="eastAsia"/>
          <w:sz w:val="24"/>
        </w:rPr>
        <w:t>、本基金持有的全部资产支持证券，其市值不得超过基金资产净值的</w:t>
      </w:r>
      <w:r>
        <w:rPr>
          <w:rFonts w:ascii="宋体" w:hint="eastAsia"/>
          <w:sz w:val="24"/>
        </w:rPr>
        <w:t>20</w:t>
      </w:r>
      <w:r>
        <w:rPr>
          <w:rFonts w:ascii="宋体" w:hint="eastAsia"/>
          <w:sz w:val="24"/>
        </w:rPr>
        <w:t>％；</w:t>
      </w:r>
    </w:p>
    <w:p w:rsidR="00A674F9" w:rsidRDefault="00CD789A">
      <w:pPr>
        <w:spacing w:line="324" w:lineRule="auto"/>
        <w:ind w:firstLine="720"/>
        <w:rPr>
          <w:rFonts w:ascii="宋体"/>
          <w:sz w:val="24"/>
        </w:rPr>
      </w:pPr>
      <w:r>
        <w:rPr>
          <w:rFonts w:ascii="宋体" w:hint="eastAsia"/>
          <w:sz w:val="24"/>
        </w:rPr>
        <w:t>j</w:t>
      </w:r>
      <w:r>
        <w:rPr>
          <w:rFonts w:ascii="宋体" w:hint="eastAsia"/>
          <w:sz w:val="24"/>
        </w:rPr>
        <w:t>、本基金持有的同一（指同一信用级别）资产支持证券的比例，不得超过该资产支持证券规模的</w:t>
      </w:r>
      <w:r>
        <w:rPr>
          <w:rFonts w:ascii="宋体" w:hint="eastAsia"/>
          <w:sz w:val="24"/>
        </w:rPr>
        <w:t>10</w:t>
      </w:r>
      <w:r>
        <w:rPr>
          <w:rFonts w:ascii="宋体" w:hint="eastAsia"/>
          <w:sz w:val="24"/>
        </w:rPr>
        <w:t>％；</w:t>
      </w:r>
    </w:p>
    <w:p w:rsidR="00A674F9" w:rsidRDefault="00CD789A">
      <w:pPr>
        <w:spacing w:line="324" w:lineRule="auto"/>
        <w:ind w:firstLine="720"/>
        <w:rPr>
          <w:rFonts w:ascii="宋体"/>
          <w:sz w:val="24"/>
        </w:rPr>
      </w:pPr>
      <w:r>
        <w:rPr>
          <w:rFonts w:ascii="宋体" w:hint="eastAsia"/>
          <w:sz w:val="24"/>
        </w:rPr>
        <w:t>k</w:t>
      </w:r>
      <w:r>
        <w:rPr>
          <w:rFonts w:ascii="宋体" w:hint="eastAsia"/>
          <w:sz w:val="24"/>
        </w:rPr>
        <w:t>、本基金管理人管理且由本基金托管人托管的全部基金投资于同一原始权益人的各类资产支持证券，不得超过其各类资产支持证券合计规模的</w:t>
      </w:r>
      <w:r>
        <w:rPr>
          <w:rFonts w:ascii="宋体" w:hint="eastAsia"/>
          <w:sz w:val="24"/>
        </w:rPr>
        <w:t>10</w:t>
      </w:r>
      <w:r>
        <w:rPr>
          <w:rFonts w:ascii="宋体" w:hint="eastAsia"/>
          <w:sz w:val="24"/>
        </w:rPr>
        <w:t>％；</w:t>
      </w:r>
    </w:p>
    <w:p w:rsidR="00A674F9" w:rsidRDefault="00CD789A">
      <w:pPr>
        <w:spacing w:line="324" w:lineRule="auto"/>
        <w:ind w:firstLine="720"/>
        <w:rPr>
          <w:rFonts w:ascii="宋体"/>
          <w:sz w:val="24"/>
        </w:rPr>
      </w:pPr>
      <w:r>
        <w:rPr>
          <w:rFonts w:ascii="宋体" w:hint="eastAsia"/>
          <w:sz w:val="24"/>
        </w:rPr>
        <w:t>l</w:t>
      </w:r>
      <w:r>
        <w:rPr>
          <w:rFonts w:ascii="宋体" w:hint="eastAsia"/>
          <w:sz w:val="24"/>
        </w:rPr>
        <w:t>、本基金应投资于信用级别评级为</w:t>
      </w:r>
      <w:r>
        <w:rPr>
          <w:rFonts w:ascii="宋体" w:hint="eastAsia"/>
          <w:sz w:val="24"/>
        </w:rPr>
        <w:t>BBB</w:t>
      </w:r>
      <w:r>
        <w:rPr>
          <w:rFonts w:ascii="宋体" w:hint="eastAsia"/>
          <w:sz w:val="24"/>
        </w:rPr>
        <w:t>以上（含</w:t>
      </w:r>
      <w:r>
        <w:rPr>
          <w:rFonts w:ascii="宋体" w:hint="eastAsia"/>
          <w:sz w:val="24"/>
        </w:rPr>
        <w:t>BBB</w:t>
      </w:r>
      <w:r>
        <w:rPr>
          <w:rFonts w:ascii="宋体" w:hint="eastAsia"/>
          <w:sz w:val="24"/>
        </w:rPr>
        <w:t>）的资产支持证券。基金持有资产支持证券期间，如果其信用等级下降、不再符合投资标准，应在评级报告发布之日起</w:t>
      </w:r>
      <w:r>
        <w:rPr>
          <w:rFonts w:ascii="宋体" w:hint="eastAsia"/>
          <w:sz w:val="24"/>
        </w:rPr>
        <w:t>3</w:t>
      </w:r>
      <w:r>
        <w:rPr>
          <w:rFonts w:ascii="宋体" w:hint="eastAsia"/>
          <w:sz w:val="24"/>
        </w:rPr>
        <w:t>个月内予以全部卖出；</w:t>
      </w:r>
    </w:p>
    <w:p w:rsidR="00A674F9" w:rsidRDefault="00CD789A">
      <w:pPr>
        <w:spacing w:line="324" w:lineRule="auto"/>
        <w:ind w:firstLine="720"/>
        <w:rPr>
          <w:rFonts w:ascii="宋体"/>
          <w:sz w:val="24"/>
        </w:rPr>
      </w:pPr>
      <w:r>
        <w:rPr>
          <w:rFonts w:ascii="宋体" w:hint="eastAsia"/>
          <w:sz w:val="24"/>
        </w:rPr>
        <w:t>m</w:t>
      </w:r>
      <w:r>
        <w:rPr>
          <w:rFonts w:ascii="宋体" w:hint="eastAsia"/>
          <w:sz w:val="24"/>
        </w:rPr>
        <w:t>、基金财产参与股票发行申购，本基金所申报的金额不超过本基金的总资产，本基金所申报的股票数量不超过拟发行股票公司本次发行股票的总量；</w:t>
      </w:r>
    </w:p>
    <w:p w:rsidR="00A674F9" w:rsidRDefault="00CD789A">
      <w:pPr>
        <w:spacing w:line="324" w:lineRule="auto"/>
        <w:ind w:firstLine="720"/>
        <w:rPr>
          <w:rFonts w:ascii="宋体"/>
          <w:sz w:val="24"/>
        </w:rPr>
      </w:pPr>
      <w:r>
        <w:rPr>
          <w:rFonts w:ascii="宋体" w:hint="eastAsia"/>
          <w:sz w:val="24"/>
        </w:rPr>
        <w:t>n</w:t>
      </w:r>
      <w:r>
        <w:rPr>
          <w:rFonts w:ascii="宋体" w:hint="eastAsia"/>
          <w:sz w:val="24"/>
        </w:rPr>
        <w:t>、本基金进入全国银行间同业市场进行债券回购的资金余额不得超过</w:t>
      </w:r>
      <w:r>
        <w:rPr>
          <w:rFonts w:ascii="宋体" w:hint="eastAsia"/>
          <w:sz w:val="24"/>
        </w:rPr>
        <w:t>基金资产净值的</w:t>
      </w:r>
      <w:r>
        <w:rPr>
          <w:rFonts w:ascii="宋体" w:hint="eastAsia"/>
          <w:sz w:val="24"/>
        </w:rPr>
        <w:t>40%</w:t>
      </w:r>
      <w:r>
        <w:rPr>
          <w:rFonts w:ascii="宋体" w:hint="eastAsia"/>
          <w:sz w:val="24"/>
        </w:rPr>
        <w:t>，债券回购最长期限为</w:t>
      </w:r>
      <w:r>
        <w:rPr>
          <w:rFonts w:ascii="宋体" w:hint="eastAsia"/>
          <w:sz w:val="24"/>
        </w:rPr>
        <w:t>1</w:t>
      </w:r>
      <w:r>
        <w:rPr>
          <w:rFonts w:ascii="宋体" w:hint="eastAsia"/>
          <w:sz w:val="24"/>
        </w:rPr>
        <w:t>年，债券回购到期后不得展期；</w:t>
      </w:r>
    </w:p>
    <w:p w:rsidR="00A674F9" w:rsidRDefault="00CD789A">
      <w:pPr>
        <w:spacing w:line="324" w:lineRule="auto"/>
        <w:ind w:firstLine="720"/>
        <w:rPr>
          <w:rFonts w:ascii="宋体"/>
          <w:sz w:val="24"/>
        </w:rPr>
      </w:pPr>
      <w:r>
        <w:rPr>
          <w:rFonts w:ascii="宋体" w:hint="eastAsia"/>
          <w:sz w:val="24"/>
        </w:rPr>
        <w:lastRenderedPageBreak/>
        <w:t>o</w:t>
      </w:r>
      <w:r>
        <w:rPr>
          <w:rFonts w:ascii="宋体" w:hint="eastAsia"/>
          <w:sz w:val="24"/>
        </w:rPr>
        <w:t>、本基金在任何交易日日终，持有的买入股指期货合约价值，不得超过基金资产净值的</w:t>
      </w:r>
      <w:r>
        <w:rPr>
          <w:rFonts w:ascii="宋体" w:hint="eastAsia"/>
          <w:sz w:val="24"/>
        </w:rPr>
        <w:t>10%</w:t>
      </w:r>
      <w:r>
        <w:rPr>
          <w:rFonts w:ascii="宋体" w:hint="eastAsia"/>
          <w:sz w:val="24"/>
        </w:rPr>
        <w:t>；</w:t>
      </w:r>
    </w:p>
    <w:p w:rsidR="00A674F9" w:rsidRDefault="00CD789A">
      <w:pPr>
        <w:spacing w:line="324" w:lineRule="auto"/>
        <w:ind w:firstLine="720"/>
        <w:rPr>
          <w:rFonts w:ascii="宋体"/>
          <w:sz w:val="24"/>
        </w:rPr>
      </w:pPr>
      <w:r>
        <w:rPr>
          <w:rFonts w:ascii="宋体" w:hint="eastAsia"/>
          <w:sz w:val="24"/>
        </w:rPr>
        <w:t>p</w:t>
      </w:r>
      <w:r>
        <w:rPr>
          <w:rFonts w:ascii="宋体" w:hint="eastAsia"/>
          <w:sz w:val="24"/>
        </w:rPr>
        <w:t>、本基金在任何交易日日终，持有的买入期货合约价值与有价证券市值之和不得超过基金资产净值的</w:t>
      </w:r>
      <w:r>
        <w:rPr>
          <w:rFonts w:ascii="宋体" w:hint="eastAsia"/>
          <w:sz w:val="24"/>
        </w:rPr>
        <w:t>95%</w:t>
      </w:r>
      <w:r>
        <w:rPr>
          <w:rFonts w:ascii="宋体" w:hint="eastAsia"/>
          <w:sz w:val="24"/>
        </w:rPr>
        <w:t>；其中，有价证券指股票、债券（不含到期日在一年以内的政府债券）、权证、资产支持证券、买入返售金融资产（不含质押式回购）等；</w:t>
      </w:r>
    </w:p>
    <w:p w:rsidR="00A674F9" w:rsidRDefault="00CD789A">
      <w:pPr>
        <w:spacing w:line="324" w:lineRule="auto"/>
        <w:ind w:firstLine="720"/>
        <w:rPr>
          <w:rFonts w:ascii="宋体"/>
          <w:sz w:val="24"/>
        </w:rPr>
      </w:pPr>
      <w:r>
        <w:rPr>
          <w:rFonts w:ascii="宋体" w:hint="eastAsia"/>
          <w:sz w:val="24"/>
        </w:rPr>
        <w:t>q</w:t>
      </w:r>
      <w:r>
        <w:rPr>
          <w:rFonts w:ascii="宋体" w:hint="eastAsia"/>
          <w:sz w:val="24"/>
        </w:rPr>
        <w:t>、本基金在任何交易日日终，持有的卖出期货合约价值不得超过基金持有的股票总市值的</w:t>
      </w:r>
      <w:r>
        <w:rPr>
          <w:rFonts w:ascii="宋体" w:hint="eastAsia"/>
          <w:sz w:val="24"/>
        </w:rPr>
        <w:t>20%</w:t>
      </w:r>
      <w:r>
        <w:rPr>
          <w:rFonts w:ascii="宋体" w:hint="eastAsia"/>
          <w:sz w:val="24"/>
        </w:rPr>
        <w:t>；</w:t>
      </w:r>
    </w:p>
    <w:p w:rsidR="00A674F9" w:rsidRDefault="00CD789A">
      <w:pPr>
        <w:spacing w:line="324" w:lineRule="auto"/>
        <w:ind w:firstLine="720"/>
        <w:rPr>
          <w:rFonts w:ascii="宋体"/>
          <w:sz w:val="24"/>
        </w:rPr>
      </w:pPr>
      <w:r>
        <w:rPr>
          <w:rFonts w:ascii="宋体" w:hint="eastAsia"/>
          <w:sz w:val="24"/>
        </w:rPr>
        <w:t>r</w:t>
      </w:r>
      <w:r>
        <w:rPr>
          <w:rFonts w:ascii="宋体" w:hint="eastAsia"/>
          <w:sz w:val="24"/>
        </w:rPr>
        <w:t>、本基金所持有的股票市值和买入、卖出股指</w:t>
      </w:r>
      <w:r>
        <w:rPr>
          <w:rFonts w:ascii="宋体" w:hint="eastAsia"/>
          <w:sz w:val="24"/>
        </w:rPr>
        <w:t>期货合约价值，合计（轧差计算）应当符合基金合同关于股票投资比例的有关约定；</w:t>
      </w:r>
    </w:p>
    <w:p w:rsidR="00A674F9" w:rsidRDefault="00CD789A">
      <w:pPr>
        <w:spacing w:line="324" w:lineRule="auto"/>
        <w:ind w:firstLine="720"/>
        <w:rPr>
          <w:rFonts w:ascii="宋体"/>
          <w:sz w:val="24"/>
        </w:rPr>
      </w:pPr>
      <w:r>
        <w:rPr>
          <w:rFonts w:ascii="宋体" w:hint="eastAsia"/>
          <w:sz w:val="24"/>
        </w:rPr>
        <w:t>s</w:t>
      </w:r>
      <w:r>
        <w:rPr>
          <w:rFonts w:ascii="宋体" w:hint="eastAsia"/>
          <w:sz w:val="24"/>
        </w:rPr>
        <w:t>、本基金在任何交易日内交易（不包括平仓）的股指期货合约的成交金额不得超过上一交易日基金资产净值的</w:t>
      </w:r>
      <w:r>
        <w:rPr>
          <w:rFonts w:ascii="宋体" w:hint="eastAsia"/>
          <w:sz w:val="24"/>
        </w:rPr>
        <w:t>20%</w:t>
      </w:r>
      <w:r>
        <w:rPr>
          <w:rFonts w:ascii="宋体" w:hint="eastAsia"/>
          <w:sz w:val="24"/>
        </w:rPr>
        <w:t>；</w:t>
      </w:r>
    </w:p>
    <w:p w:rsidR="00A674F9" w:rsidRDefault="00CD789A">
      <w:pPr>
        <w:spacing w:line="324" w:lineRule="auto"/>
        <w:ind w:firstLine="720"/>
        <w:rPr>
          <w:rFonts w:ascii="宋体"/>
          <w:sz w:val="24"/>
        </w:rPr>
      </w:pPr>
      <w:r>
        <w:rPr>
          <w:rFonts w:ascii="宋体" w:hint="eastAsia"/>
          <w:sz w:val="24"/>
        </w:rPr>
        <w:t>t</w:t>
      </w:r>
      <w:r>
        <w:rPr>
          <w:rFonts w:ascii="宋体" w:hint="eastAsia"/>
          <w:sz w:val="24"/>
        </w:rPr>
        <w:t>、本基金总资产不得超过基金净资产的</w:t>
      </w:r>
      <w:r>
        <w:rPr>
          <w:rFonts w:ascii="宋体" w:hint="eastAsia"/>
          <w:sz w:val="24"/>
        </w:rPr>
        <w:t>140%</w:t>
      </w:r>
      <w:r>
        <w:rPr>
          <w:rFonts w:ascii="宋体" w:hint="eastAsia"/>
          <w:sz w:val="24"/>
        </w:rPr>
        <w:t>；</w:t>
      </w:r>
    </w:p>
    <w:p w:rsidR="00A674F9" w:rsidRDefault="00CD789A">
      <w:pPr>
        <w:spacing w:line="324" w:lineRule="auto"/>
        <w:ind w:firstLine="720"/>
        <w:rPr>
          <w:rFonts w:ascii="宋体"/>
          <w:sz w:val="24"/>
        </w:rPr>
      </w:pPr>
      <w:r>
        <w:rPr>
          <w:rFonts w:ascii="宋体" w:hint="eastAsia"/>
          <w:sz w:val="24"/>
        </w:rPr>
        <w:t>u</w:t>
      </w:r>
      <w:r>
        <w:rPr>
          <w:rFonts w:ascii="宋体" w:hint="eastAsia"/>
          <w:sz w:val="24"/>
        </w:rPr>
        <w:t>、本基金管理人管理且由本基金托管人托管的全部开放式基金持有一家上市公司发行的可流通股票，不得超过该上市公司可流通股票的</w:t>
      </w:r>
      <w:r>
        <w:rPr>
          <w:rFonts w:ascii="宋体" w:hint="eastAsia"/>
          <w:sz w:val="24"/>
        </w:rPr>
        <w:t>15%</w:t>
      </w:r>
      <w:r>
        <w:rPr>
          <w:rFonts w:ascii="宋体" w:hint="eastAsia"/>
          <w:sz w:val="24"/>
        </w:rPr>
        <w:t>；本基金管理人管理且由本基金托管人托管的全部投资组合持有一家上市公司发行的可流通股票，不得超过该上市公司可流通股票的</w:t>
      </w:r>
      <w:r>
        <w:rPr>
          <w:rFonts w:ascii="宋体" w:hint="eastAsia"/>
          <w:sz w:val="24"/>
        </w:rPr>
        <w:t>30%</w:t>
      </w:r>
      <w:r>
        <w:rPr>
          <w:rFonts w:ascii="宋体" w:hint="eastAsia"/>
          <w:sz w:val="24"/>
        </w:rPr>
        <w:t>；</w:t>
      </w:r>
    </w:p>
    <w:p w:rsidR="00A674F9" w:rsidRDefault="00CD789A">
      <w:pPr>
        <w:spacing w:line="324" w:lineRule="auto"/>
        <w:ind w:firstLine="720"/>
        <w:rPr>
          <w:rFonts w:ascii="宋体"/>
          <w:sz w:val="24"/>
        </w:rPr>
      </w:pPr>
      <w:r>
        <w:rPr>
          <w:rFonts w:ascii="宋体" w:hint="eastAsia"/>
          <w:sz w:val="24"/>
        </w:rPr>
        <w:t>v</w:t>
      </w:r>
      <w:r>
        <w:rPr>
          <w:rFonts w:ascii="宋体" w:hint="eastAsia"/>
          <w:sz w:val="24"/>
        </w:rPr>
        <w:t>、本基金主动投资于流动性受</w:t>
      </w:r>
      <w:r>
        <w:rPr>
          <w:rFonts w:ascii="宋体" w:hint="eastAsia"/>
          <w:sz w:val="24"/>
        </w:rPr>
        <w:t>限资产的市值合计不得超过基金资产净值的</w:t>
      </w:r>
      <w:r>
        <w:rPr>
          <w:rFonts w:ascii="宋体" w:hint="eastAsia"/>
          <w:sz w:val="24"/>
        </w:rPr>
        <w:t>15%</w:t>
      </w:r>
      <w:r>
        <w:rPr>
          <w:rFonts w:ascii="宋体" w:hint="eastAsia"/>
          <w:sz w:val="24"/>
        </w:rPr>
        <w:t>；因证券市场波动、上市公司股票停牌、基金规模变动等基金管理人之外的因素致使基金不符合本款所规定比例限制的，本基金管理人不得主动新增流动性受限资产的投资；</w:t>
      </w:r>
    </w:p>
    <w:p w:rsidR="00A674F9" w:rsidRDefault="00CD789A">
      <w:pPr>
        <w:spacing w:line="324" w:lineRule="auto"/>
        <w:ind w:firstLine="720"/>
        <w:rPr>
          <w:rFonts w:ascii="宋体"/>
          <w:sz w:val="24"/>
        </w:rPr>
      </w:pPr>
      <w:r>
        <w:rPr>
          <w:rFonts w:ascii="宋体" w:hint="eastAsia"/>
          <w:sz w:val="24"/>
        </w:rPr>
        <w:t>w</w:t>
      </w:r>
      <w:r>
        <w:rPr>
          <w:rFonts w:ascii="宋体" w:hint="eastAsia"/>
          <w:sz w:val="24"/>
        </w:rPr>
        <w:t>、本基金与私募类证券资管产品及中国证监会认定的其他主体为交易对手开展逆回购交易的，可接受质押品的资质要求应当与基金合同约定的投资范围保持一致；</w:t>
      </w:r>
    </w:p>
    <w:p w:rsidR="00A674F9" w:rsidRDefault="00CD789A">
      <w:pPr>
        <w:spacing w:line="360" w:lineRule="auto"/>
        <w:ind w:firstLineChars="300" w:firstLine="720"/>
        <w:rPr>
          <w:rFonts w:hAnsi="宋体"/>
          <w:sz w:val="24"/>
        </w:rPr>
      </w:pPr>
      <w:r>
        <w:rPr>
          <w:sz w:val="24"/>
        </w:rPr>
        <w:t>《基金法》及其他有关法律法规或监管部门</w:t>
      </w:r>
      <w:r>
        <w:rPr>
          <w:rFonts w:hint="eastAsia"/>
          <w:sz w:val="24"/>
        </w:rPr>
        <w:t>取消</w:t>
      </w:r>
      <w:r>
        <w:rPr>
          <w:sz w:val="24"/>
        </w:rPr>
        <w:t>上述限制</w:t>
      </w:r>
      <w:r>
        <w:rPr>
          <w:rFonts w:hint="eastAsia"/>
          <w:sz w:val="24"/>
        </w:rPr>
        <w:t>的</w:t>
      </w:r>
      <w:r>
        <w:rPr>
          <w:sz w:val="24"/>
        </w:rPr>
        <w:t>，</w:t>
      </w:r>
      <w:r>
        <w:rPr>
          <w:rFonts w:hint="eastAsia"/>
          <w:sz w:val="24"/>
        </w:rPr>
        <w:t>则本基金不受上述限制，但须提前公告，不需要经基金份额持有人大会审议</w:t>
      </w:r>
      <w:r>
        <w:rPr>
          <w:rFonts w:hAnsi="宋体"/>
          <w:sz w:val="24"/>
        </w:rPr>
        <w:t>。</w:t>
      </w:r>
    </w:p>
    <w:p w:rsidR="00A674F9" w:rsidRDefault="00CD789A">
      <w:pPr>
        <w:spacing w:line="360" w:lineRule="auto"/>
        <w:ind w:firstLineChars="300" w:firstLine="720"/>
        <w:rPr>
          <w:rFonts w:ascii="宋体" w:hAnsi="宋体"/>
          <w:sz w:val="24"/>
        </w:rPr>
      </w:pPr>
      <w:r>
        <w:rPr>
          <w:rFonts w:ascii="宋体" w:hAnsi="宋体" w:cs="宋体" w:hint="eastAsia"/>
          <w:kern w:val="0"/>
          <w:sz w:val="24"/>
        </w:rPr>
        <w:t>除投资资产配置外，基金托管人对基金的投资的监督和检查自基金合同生效之日起开始。</w:t>
      </w:r>
    </w:p>
    <w:p w:rsidR="00A674F9" w:rsidRDefault="00CD789A">
      <w:pPr>
        <w:spacing w:line="440" w:lineRule="atLeast"/>
        <w:ind w:firstLineChars="200" w:firstLine="480"/>
        <w:rPr>
          <w:sz w:val="24"/>
        </w:rPr>
      </w:pPr>
      <w:r>
        <w:rPr>
          <w:rFonts w:ascii="宋体" w:hAnsi="宋体" w:hint="eastAsia"/>
          <w:sz w:val="24"/>
        </w:rPr>
        <w:t>（</w:t>
      </w:r>
      <w:r>
        <w:rPr>
          <w:rFonts w:ascii="宋体" w:hAnsi="宋体" w:hint="eastAsia"/>
          <w:sz w:val="24"/>
        </w:rPr>
        <w:t>3</w:t>
      </w:r>
      <w:r>
        <w:rPr>
          <w:rFonts w:ascii="宋体" w:hAnsi="宋体" w:hint="eastAsia"/>
          <w:sz w:val="24"/>
        </w:rPr>
        <w:t>）法规允许的基金投资比例调整期限</w:t>
      </w:r>
    </w:p>
    <w:p w:rsidR="00A674F9" w:rsidRDefault="00CD789A">
      <w:pPr>
        <w:spacing w:line="440" w:lineRule="atLeast"/>
        <w:ind w:right="28" w:firstLineChars="200" w:firstLine="480"/>
        <w:rPr>
          <w:sz w:val="24"/>
        </w:rPr>
      </w:pPr>
      <w:r>
        <w:rPr>
          <w:rFonts w:hint="eastAsia"/>
          <w:sz w:val="24"/>
        </w:rPr>
        <w:t>因证券市场波动、证券发行人合并、基金规模变动、股权分置改革中支付对价等基金管理人之外的因素致使基金投资比例不符合上述规定投资比例的，</w:t>
      </w:r>
      <w:r>
        <w:rPr>
          <w:rFonts w:hint="eastAsia"/>
          <w:bCs/>
          <w:sz w:val="24"/>
        </w:rPr>
        <w:t>除上述</w:t>
      </w:r>
      <w:r>
        <w:rPr>
          <w:rFonts w:hint="eastAsia"/>
          <w:bCs/>
          <w:sz w:val="24"/>
        </w:rPr>
        <w:t>b</w:t>
      </w:r>
      <w:r>
        <w:rPr>
          <w:rFonts w:hint="eastAsia"/>
          <w:bCs/>
          <w:sz w:val="24"/>
        </w:rPr>
        <w:t>、</w:t>
      </w:r>
      <w:r>
        <w:rPr>
          <w:rFonts w:hint="eastAsia"/>
          <w:bCs/>
          <w:sz w:val="24"/>
        </w:rPr>
        <w:t>l</w:t>
      </w:r>
      <w:r>
        <w:rPr>
          <w:rFonts w:hint="eastAsia"/>
          <w:bCs/>
          <w:sz w:val="24"/>
        </w:rPr>
        <w:t>、</w:t>
      </w:r>
      <w:r>
        <w:rPr>
          <w:rFonts w:hint="eastAsia"/>
          <w:bCs/>
          <w:sz w:val="24"/>
        </w:rPr>
        <w:t>v</w:t>
      </w:r>
      <w:r>
        <w:rPr>
          <w:rFonts w:hint="eastAsia"/>
          <w:bCs/>
          <w:sz w:val="24"/>
        </w:rPr>
        <w:t>、</w:t>
      </w:r>
      <w:r>
        <w:rPr>
          <w:rFonts w:hint="eastAsia"/>
          <w:bCs/>
          <w:sz w:val="24"/>
        </w:rPr>
        <w:t>w</w:t>
      </w:r>
      <w:r>
        <w:rPr>
          <w:rFonts w:hint="eastAsia"/>
          <w:bCs/>
          <w:sz w:val="24"/>
        </w:rPr>
        <w:t>点的情形外，</w:t>
      </w:r>
      <w:r>
        <w:rPr>
          <w:rFonts w:hint="eastAsia"/>
          <w:sz w:val="24"/>
        </w:rPr>
        <w:t>基金管理人应当在</w:t>
      </w:r>
      <w:r>
        <w:rPr>
          <w:rFonts w:hint="eastAsia"/>
          <w:sz w:val="24"/>
        </w:rPr>
        <w:t>10</w:t>
      </w:r>
      <w:r>
        <w:rPr>
          <w:rFonts w:hint="eastAsia"/>
          <w:sz w:val="24"/>
        </w:rPr>
        <w:t>个交易日内进行调整。</w:t>
      </w:r>
      <w:r>
        <w:rPr>
          <w:rFonts w:hint="eastAsia"/>
          <w:sz w:val="24"/>
        </w:rPr>
        <w:lastRenderedPageBreak/>
        <w:t>法律法规另有规定的，从其规定。</w:t>
      </w:r>
    </w:p>
    <w:p w:rsidR="00A674F9" w:rsidRDefault="00CD789A">
      <w:pPr>
        <w:spacing w:line="440" w:lineRule="atLeast"/>
        <w:ind w:right="28" w:firstLineChars="200" w:firstLine="480"/>
        <w:rPr>
          <w:sz w:val="24"/>
        </w:rPr>
      </w:pPr>
      <w:r>
        <w:rPr>
          <w:rFonts w:hint="eastAsia"/>
          <w:sz w:val="24"/>
        </w:rPr>
        <w:t>基金管理人应在出现可预见资产规模大幅变动的情况下，至少提前</w:t>
      </w:r>
      <w:r>
        <w:rPr>
          <w:sz w:val="24"/>
        </w:rPr>
        <w:t>2</w:t>
      </w:r>
      <w:r>
        <w:rPr>
          <w:rFonts w:hint="eastAsia"/>
          <w:sz w:val="24"/>
        </w:rPr>
        <w:t>个工作日正式向基金托管人发函说明基金可能变动规模和公司应对措施，便于托管人实施交易监督。</w:t>
      </w:r>
    </w:p>
    <w:p w:rsidR="00A674F9" w:rsidRDefault="00A674F9">
      <w:pPr>
        <w:spacing w:after="120" w:line="440" w:lineRule="exact"/>
        <w:ind w:firstLineChars="200" w:firstLine="480"/>
        <w:rPr>
          <w:sz w:val="24"/>
        </w:rPr>
      </w:pPr>
    </w:p>
    <w:p w:rsidR="00A674F9" w:rsidRDefault="00CD789A">
      <w:pPr>
        <w:spacing w:after="120" w:line="440" w:lineRule="exact"/>
        <w:ind w:firstLineChars="200" w:firstLine="480"/>
        <w:rPr>
          <w:rFonts w:ascii="宋体" w:hAnsi="宋体"/>
          <w:sz w:val="24"/>
          <w:szCs w:val="21"/>
        </w:rPr>
      </w:pPr>
      <w:r>
        <w:rPr>
          <w:rFonts w:ascii="宋体" w:hAnsi="宋体" w:hint="eastAsia"/>
          <w:sz w:val="24"/>
          <w:szCs w:val="21"/>
        </w:rPr>
        <w:t>3</w:t>
      </w:r>
      <w:r>
        <w:rPr>
          <w:rFonts w:ascii="宋体" w:hAnsi="宋体" w:hint="eastAsia"/>
          <w:sz w:val="24"/>
          <w:szCs w:val="21"/>
        </w:rPr>
        <w:t>、基</w:t>
      </w:r>
      <w:r>
        <w:rPr>
          <w:rFonts w:ascii="宋体" w:hAnsi="宋体" w:hint="eastAsia"/>
          <w:sz w:val="24"/>
          <w:szCs w:val="21"/>
        </w:rPr>
        <w:t>金托管人根据有关法律法规的规定及《基金合同》的约定对下述基金投资禁止行为进行监督：</w:t>
      </w:r>
      <w:r>
        <w:rPr>
          <w:rFonts w:ascii="宋体" w:hAnsi="宋体" w:hint="eastAsia"/>
          <w:sz w:val="24"/>
          <w:szCs w:val="21"/>
        </w:rPr>
        <w:t xml:space="preserve"> </w:t>
      </w:r>
    </w:p>
    <w:p w:rsidR="00A674F9" w:rsidRDefault="00CD789A">
      <w:pPr>
        <w:spacing w:line="360" w:lineRule="auto"/>
        <w:ind w:left="1" w:firstLineChars="225" w:firstLine="540"/>
        <w:rPr>
          <w:rFonts w:ascii="宋体" w:hAnsi="宋体"/>
          <w:sz w:val="24"/>
        </w:rPr>
      </w:pPr>
      <w:r>
        <w:rPr>
          <w:rFonts w:ascii="宋体" w:hAnsi="宋体" w:hint="eastAsia"/>
          <w:sz w:val="24"/>
        </w:rPr>
        <w:t>根据法律法规的规定及《基金合同》的约定，本基金禁止从事下列行为：</w:t>
      </w:r>
    </w:p>
    <w:p w:rsidR="00A674F9" w:rsidRDefault="00CD789A">
      <w:pPr>
        <w:spacing w:line="360" w:lineRule="auto"/>
        <w:ind w:left="1" w:firstLineChars="225" w:firstLine="540"/>
        <w:rPr>
          <w:sz w:val="24"/>
        </w:rPr>
      </w:pPr>
      <w:r>
        <w:rPr>
          <w:rFonts w:hint="eastAsia"/>
          <w:sz w:val="24"/>
        </w:rPr>
        <w:t>（</w:t>
      </w:r>
      <w:r>
        <w:rPr>
          <w:rFonts w:hint="eastAsia"/>
          <w:sz w:val="24"/>
        </w:rPr>
        <w:t>1</w:t>
      </w:r>
      <w:r>
        <w:rPr>
          <w:rFonts w:hint="eastAsia"/>
          <w:sz w:val="24"/>
        </w:rPr>
        <w:t>）承销证券；</w:t>
      </w:r>
    </w:p>
    <w:p w:rsidR="00A674F9" w:rsidRDefault="00CD789A">
      <w:pPr>
        <w:spacing w:line="360" w:lineRule="auto"/>
        <w:ind w:firstLineChars="225" w:firstLine="540"/>
        <w:rPr>
          <w:sz w:val="24"/>
        </w:rPr>
      </w:pPr>
      <w:r>
        <w:rPr>
          <w:rFonts w:hint="eastAsia"/>
          <w:sz w:val="24"/>
        </w:rPr>
        <w:t>（</w:t>
      </w:r>
      <w:r>
        <w:rPr>
          <w:rFonts w:hint="eastAsia"/>
          <w:sz w:val="24"/>
        </w:rPr>
        <w:t>2</w:t>
      </w:r>
      <w:r>
        <w:rPr>
          <w:rFonts w:hint="eastAsia"/>
          <w:sz w:val="24"/>
        </w:rPr>
        <w:t>）</w:t>
      </w:r>
      <w:r>
        <w:rPr>
          <w:rFonts w:hint="eastAsia"/>
          <w:bCs/>
          <w:sz w:val="24"/>
        </w:rPr>
        <w:t>违反规定</w:t>
      </w:r>
      <w:r>
        <w:rPr>
          <w:rFonts w:hint="eastAsia"/>
          <w:sz w:val="24"/>
        </w:rPr>
        <w:t>向他人贷款或提供担保；</w:t>
      </w:r>
    </w:p>
    <w:p w:rsidR="00A674F9" w:rsidRDefault="00CD789A">
      <w:pPr>
        <w:spacing w:line="360" w:lineRule="auto"/>
        <w:ind w:firstLineChars="225" w:firstLine="540"/>
        <w:rPr>
          <w:sz w:val="24"/>
        </w:rPr>
      </w:pPr>
      <w:r>
        <w:rPr>
          <w:rFonts w:hint="eastAsia"/>
          <w:sz w:val="24"/>
        </w:rPr>
        <w:t>（</w:t>
      </w:r>
      <w:r>
        <w:rPr>
          <w:rFonts w:hint="eastAsia"/>
          <w:sz w:val="24"/>
        </w:rPr>
        <w:t>3</w:t>
      </w:r>
      <w:r>
        <w:rPr>
          <w:rFonts w:hint="eastAsia"/>
          <w:sz w:val="24"/>
        </w:rPr>
        <w:t>）</w:t>
      </w:r>
      <w:r>
        <w:rPr>
          <w:bCs/>
          <w:sz w:val="24"/>
        </w:rPr>
        <w:t>从事承担无限责任的投资</w:t>
      </w:r>
      <w:r>
        <w:rPr>
          <w:sz w:val="24"/>
        </w:rPr>
        <w:t>；</w:t>
      </w:r>
    </w:p>
    <w:p w:rsidR="00A674F9" w:rsidRDefault="00CD789A">
      <w:pPr>
        <w:spacing w:line="360" w:lineRule="auto"/>
        <w:ind w:firstLineChars="225" w:firstLine="540"/>
        <w:rPr>
          <w:sz w:val="24"/>
        </w:rPr>
      </w:pPr>
      <w:r>
        <w:rPr>
          <w:rFonts w:hint="eastAsia"/>
          <w:sz w:val="24"/>
        </w:rPr>
        <w:t>（</w:t>
      </w:r>
      <w:r>
        <w:rPr>
          <w:rFonts w:hint="eastAsia"/>
          <w:sz w:val="24"/>
        </w:rPr>
        <w:t>4</w:t>
      </w:r>
      <w:r>
        <w:rPr>
          <w:rFonts w:hint="eastAsia"/>
          <w:sz w:val="24"/>
        </w:rPr>
        <w:t>）向其基金管理人、基金托管人出资；</w:t>
      </w:r>
    </w:p>
    <w:p w:rsidR="00A674F9" w:rsidRDefault="00CD789A">
      <w:pPr>
        <w:spacing w:line="360" w:lineRule="auto"/>
        <w:ind w:left="1" w:firstLineChars="225" w:firstLine="540"/>
        <w:rPr>
          <w:rFonts w:ascii="宋体" w:hAnsi="宋体"/>
          <w:sz w:val="24"/>
          <w:szCs w:val="21"/>
        </w:rPr>
      </w:pPr>
      <w:r>
        <w:rPr>
          <w:rFonts w:ascii="宋体" w:hAnsi="宋体" w:hint="eastAsia"/>
          <w:sz w:val="24"/>
        </w:rPr>
        <w:t>如</w:t>
      </w:r>
      <w:r>
        <w:rPr>
          <w:rFonts w:ascii="宋体" w:hAnsi="宋体"/>
          <w:sz w:val="24"/>
        </w:rPr>
        <w:t>法律法规或监管部门</w:t>
      </w:r>
      <w:r>
        <w:rPr>
          <w:rFonts w:ascii="宋体" w:hAnsi="宋体" w:hint="eastAsia"/>
          <w:sz w:val="24"/>
        </w:rPr>
        <w:t>取消上述禁止性规定，且适用于本基金，则本基金投资不再受相关限制</w:t>
      </w:r>
      <w:r>
        <w:rPr>
          <w:rFonts w:ascii="宋体" w:hAnsi="宋体"/>
          <w:sz w:val="24"/>
        </w:rPr>
        <w:t>。</w:t>
      </w:r>
    </w:p>
    <w:p w:rsidR="00A674F9" w:rsidRDefault="00CD789A">
      <w:pPr>
        <w:spacing w:line="440" w:lineRule="exact"/>
        <w:ind w:firstLineChars="200" w:firstLine="480"/>
        <w:rPr>
          <w:rFonts w:ascii="宋体" w:hAnsi="宋体"/>
          <w:sz w:val="24"/>
          <w:szCs w:val="21"/>
        </w:rPr>
      </w:pPr>
      <w:r>
        <w:rPr>
          <w:rFonts w:ascii="宋体" w:hAnsi="宋体" w:hint="eastAsia"/>
          <w:sz w:val="24"/>
          <w:szCs w:val="21"/>
        </w:rPr>
        <w:t>4</w:t>
      </w:r>
      <w:r>
        <w:rPr>
          <w:rFonts w:ascii="宋体" w:hAnsi="宋体" w:hint="eastAsia"/>
          <w:sz w:val="24"/>
          <w:szCs w:val="21"/>
        </w:rPr>
        <w:t>、基金托管人</w:t>
      </w:r>
      <w:r>
        <w:rPr>
          <w:rFonts w:ascii="宋体" w:hAnsi="宋体" w:cs="宋体" w:hint="eastAsia"/>
          <w:kern w:val="0"/>
          <w:sz w:val="24"/>
        </w:rPr>
        <w:t>依据有关法律法规的规定和《基金合同》的约定</w:t>
      </w:r>
      <w:r>
        <w:rPr>
          <w:rFonts w:ascii="宋体" w:hAnsi="宋体" w:hint="eastAsia"/>
          <w:sz w:val="24"/>
          <w:szCs w:val="21"/>
        </w:rPr>
        <w:t>对基金管理人参与银行间债券市场进行监督。</w:t>
      </w:r>
    </w:p>
    <w:p w:rsidR="00A674F9" w:rsidRDefault="00CD789A">
      <w:pPr>
        <w:spacing w:line="440" w:lineRule="exact"/>
        <w:ind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1</w:t>
      </w:r>
      <w:r>
        <w:rPr>
          <w:rFonts w:ascii="宋体" w:hAnsi="宋体" w:hint="eastAsia"/>
          <w:sz w:val="24"/>
          <w:szCs w:val="21"/>
        </w:rPr>
        <w:t>）基金托管人按以下方式对基金管理人参与银行间市场交易的交易对手资信风险控制措施进行监督。</w:t>
      </w:r>
    </w:p>
    <w:p w:rsidR="00A674F9" w:rsidRDefault="00CD789A">
      <w:pPr>
        <w:spacing w:after="120" w:line="440" w:lineRule="exact"/>
        <w:ind w:firstLineChars="200" w:firstLine="480"/>
        <w:rPr>
          <w:rFonts w:ascii="宋体" w:hAnsi="宋体"/>
          <w:sz w:val="24"/>
          <w:szCs w:val="21"/>
        </w:rPr>
      </w:pPr>
      <w:r>
        <w:rPr>
          <w:rFonts w:ascii="宋体" w:hAnsi="宋体" w:hint="eastAsia"/>
          <w:sz w:val="24"/>
          <w:szCs w:val="21"/>
        </w:rPr>
        <w:t>基金管理人向基金托管人提供符合法律法规及行业标准的银行间市场交易对手的名单，并按照审慎的风险控制原则在该名单中约定各交易对手所适用的交易结算方式。基金托管人在收到名单后</w:t>
      </w:r>
      <w:r>
        <w:rPr>
          <w:rFonts w:ascii="宋体" w:hAnsi="宋体" w:hint="eastAsia"/>
          <w:sz w:val="24"/>
          <w:szCs w:val="21"/>
        </w:rPr>
        <w:t>2</w:t>
      </w:r>
      <w:r>
        <w:rPr>
          <w:rFonts w:ascii="宋体" w:hAnsi="宋体" w:hint="eastAsia"/>
          <w:sz w:val="24"/>
          <w:szCs w:val="21"/>
        </w:rPr>
        <w:t>个工作日内回函确认收到该名单。基金管理人应定期或不定期对银行间市场现券及回购交易对手的名单进行更新，名单中增加或减少银行间市场交易对手时须提前书面通知基金托管人，基金托管人于</w:t>
      </w:r>
      <w:r>
        <w:rPr>
          <w:rFonts w:ascii="宋体" w:hAnsi="宋体" w:hint="eastAsia"/>
          <w:sz w:val="24"/>
          <w:szCs w:val="21"/>
        </w:rPr>
        <w:t>2</w:t>
      </w:r>
      <w:r>
        <w:rPr>
          <w:rFonts w:ascii="宋体" w:hAnsi="宋体" w:hint="eastAsia"/>
          <w:sz w:val="24"/>
          <w:szCs w:val="21"/>
        </w:rPr>
        <w:t>个工作日内回函确认收到后，对名单进行更新。基金管理人收到基金托管人书面确</w:t>
      </w:r>
      <w:r>
        <w:rPr>
          <w:rFonts w:ascii="宋体" w:hAnsi="宋体" w:hint="eastAsia"/>
          <w:sz w:val="24"/>
          <w:szCs w:val="21"/>
        </w:rPr>
        <w:t>认后，被确认调整的名单开始生效，新名单生效前已与本次剔除的交易对手所进行但尚未结算的交易，仍应按照协议进行结算。</w:t>
      </w:r>
    </w:p>
    <w:p w:rsidR="00A674F9" w:rsidRDefault="00CD789A">
      <w:pPr>
        <w:spacing w:line="440" w:lineRule="exact"/>
        <w:ind w:firstLineChars="200" w:firstLine="480"/>
        <w:rPr>
          <w:rFonts w:ascii="宋体" w:hAnsi="宋体"/>
          <w:sz w:val="24"/>
          <w:szCs w:val="21"/>
        </w:rPr>
      </w:pPr>
      <w:r>
        <w:rPr>
          <w:rFonts w:ascii="宋体" w:hAnsi="宋体" w:hint="eastAsia"/>
          <w:sz w:val="24"/>
          <w:szCs w:val="21"/>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rsidR="00A674F9" w:rsidRDefault="00CD789A">
      <w:pPr>
        <w:spacing w:line="440" w:lineRule="exact"/>
        <w:ind w:firstLineChars="200" w:firstLine="480"/>
        <w:rPr>
          <w:rFonts w:ascii="宋体" w:hAnsi="宋体"/>
          <w:sz w:val="24"/>
          <w:szCs w:val="21"/>
        </w:rPr>
      </w:pPr>
      <w:r>
        <w:rPr>
          <w:rFonts w:ascii="宋体" w:hAnsi="宋体" w:hint="eastAsia"/>
          <w:sz w:val="24"/>
          <w:szCs w:val="21"/>
        </w:rPr>
        <w:lastRenderedPageBreak/>
        <w:t>（</w:t>
      </w:r>
      <w:r>
        <w:rPr>
          <w:rFonts w:ascii="宋体" w:hAnsi="宋体" w:hint="eastAsia"/>
          <w:sz w:val="24"/>
          <w:szCs w:val="21"/>
        </w:rPr>
        <w:t>2</w:t>
      </w:r>
      <w:r>
        <w:rPr>
          <w:rFonts w:ascii="宋体" w:hAnsi="宋体" w:hint="eastAsia"/>
          <w:sz w:val="24"/>
          <w:szCs w:val="21"/>
        </w:rPr>
        <w:t>）基金托管人对于基金管理人参与银行间市场交易的交易方式的控制</w:t>
      </w:r>
    </w:p>
    <w:p w:rsidR="00A674F9" w:rsidRDefault="00CD789A">
      <w:pPr>
        <w:spacing w:line="440" w:lineRule="exact"/>
        <w:ind w:firstLine="397"/>
        <w:rPr>
          <w:rFonts w:ascii="宋体" w:hAnsi="宋体"/>
          <w:sz w:val="24"/>
          <w:szCs w:val="21"/>
        </w:rPr>
      </w:pPr>
      <w:r>
        <w:rPr>
          <w:rFonts w:ascii="宋体" w:hAnsi="宋体" w:hint="eastAsia"/>
          <w:sz w:val="24"/>
          <w:szCs w:val="21"/>
        </w:rPr>
        <w:t xml:space="preserve"> </w:t>
      </w:r>
      <w:r>
        <w:rPr>
          <w:rFonts w:ascii="宋体" w:hAnsi="宋体" w:hint="eastAsia"/>
          <w:sz w:val="24"/>
          <w:szCs w:val="21"/>
        </w:rPr>
        <w:t>基金管理人在银行间市场进行现券买卖和回购交易时，需按交易对手名单中约定的该交易对手所适用的交易结算方式进行交易。如</w:t>
      </w:r>
      <w:r>
        <w:rPr>
          <w:rFonts w:ascii="宋体" w:hAnsi="宋体" w:hint="eastAsia"/>
          <w:sz w:val="24"/>
          <w:szCs w:val="21"/>
        </w:rPr>
        <w:t>果基金托管人发现基金管理人没有按照事先约定的交易方式进行交易时，基金托管人应及时提醒基金管理人与交易对手重新确定交易方式，经提醒后仍未改正时造成基金资产损失的，基金托管人不承担责任。</w:t>
      </w:r>
    </w:p>
    <w:p w:rsidR="00A674F9" w:rsidRDefault="00CD789A">
      <w:pPr>
        <w:spacing w:line="440" w:lineRule="exact"/>
        <w:ind w:firstLineChars="215" w:firstLine="516"/>
        <w:rPr>
          <w:rFonts w:ascii="宋体" w:hAnsi="宋体"/>
          <w:sz w:val="24"/>
          <w:szCs w:val="21"/>
        </w:rPr>
      </w:pPr>
      <w:r>
        <w:rPr>
          <w:rFonts w:ascii="宋体" w:hAnsi="宋体" w:hint="eastAsia"/>
          <w:sz w:val="24"/>
          <w:szCs w:val="21"/>
        </w:rPr>
        <w:t>（</w:t>
      </w:r>
      <w:r>
        <w:rPr>
          <w:rFonts w:ascii="宋体" w:hAnsi="宋体" w:hint="eastAsia"/>
          <w:sz w:val="24"/>
          <w:szCs w:val="21"/>
        </w:rPr>
        <w:t>3</w:t>
      </w:r>
      <w:r>
        <w:rPr>
          <w:rFonts w:ascii="宋体" w:hAnsi="宋体" w:hint="eastAsia"/>
          <w:sz w:val="24"/>
          <w:szCs w:val="21"/>
        </w:rPr>
        <w:t>）基金管理人参与银行间市场交易的核心交易对手为中国工商银行、中国银行、中国建设银行、中国农业银行和交通银行，基金管理人在通知基金托管人后，可以根据当时的市场情况调整核心交易对手名单。基金管理人有责任控制交易对手的资信风险，在与核心交易对手以外的交易对手进行交易时，由于交易对手资信风险引起的损失先由基金管理人承担，其后有权要</w:t>
      </w:r>
      <w:r>
        <w:rPr>
          <w:rFonts w:ascii="宋体" w:hAnsi="宋体" w:hint="eastAsia"/>
          <w:sz w:val="24"/>
          <w:szCs w:val="21"/>
        </w:rPr>
        <w:t>求相关责任人进行赔偿。</w:t>
      </w:r>
      <w:r>
        <w:rPr>
          <w:rFonts w:ascii="宋体" w:cs="宋体" w:hint="eastAsia"/>
          <w:color w:val="000000"/>
          <w:kern w:val="0"/>
          <w:sz w:val="24"/>
        </w:rPr>
        <w:t>基金托管人的监督责任仅限于根据已提供的名单，审核交易对手是否在名单内列明。</w:t>
      </w:r>
    </w:p>
    <w:p w:rsidR="00A674F9" w:rsidRDefault="00CD789A">
      <w:pPr>
        <w:ind w:leftChars="114" w:left="239" w:firstLineChars="100" w:firstLine="240"/>
        <w:rPr>
          <w:rFonts w:ascii="宋体" w:hAnsi="宋体"/>
          <w:sz w:val="24"/>
          <w:szCs w:val="21"/>
        </w:rPr>
      </w:pPr>
      <w:r>
        <w:rPr>
          <w:rFonts w:ascii="宋体" w:hAnsi="宋体" w:hint="eastAsia"/>
          <w:sz w:val="24"/>
          <w:szCs w:val="21"/>
        </w:rPr>
        <w:t>5</w:t>
      </w:r>
      <w:r>
        <w:rPr>
          <w:rFonts w:ascii="宋体" w:hAnsi="宋体" w:hint="eastAsia"/>
          <w:sz w:val="24"/>
          <w:szCs w:val="21"/>
        </w:rPr>
        <w:t>、基金托管人对基金管理人选择存款银行进行监督。</w:t>
      </w:r>
    </w:p>
    <w:p w:rsidR="00A674F9" w:rsidRDefault="00CD789A">
      <w:pPr>
        <w:spacing w:line="440" w:lineRule="exact"/>
        <w:ind w:firstLineChars="215" w:firstLine="516"/>
        <w:rPr>
          <w:rFonts w:ascii="宋体" w:cs="宋体"/>
          <w:color w:val="000000"/>
          <w:kern w:val="0"/>
          <w:sz w:val="24"/>
        </w:rPr>
      </w:pPr>
      <w:r>
        <w:rPr>
          <w:rFonts w:ascii="宋体" w:hAnsi="宋体" w:hint="eastAsia"/>
          <w:kern w:val="0"/>
          <w:sz w:val="24"/>
          <w:szCs w:val="20"/>
        </w:rPr>
        <w:t>本基金投资银行存款的信用风险主要包括存款银行的信用等级、存款银行的支付能力等涉及到存款银行选择方面的风险。本基金核心存款银行名单为</w:t>
      </w:r>
      <w:r>
        <w:rPr>
          <w:rFonts w:ascii="宋体" w:hAnsi="宋体" w:hint="eastAsia"/>
          <w:sz w:val="24"/>
          <w:szCs w:val="21"/>
        </w:rPr>
        <w:t>中国工商银行、中国银行、中国建设银行、中国农业银行和交通银行，</w:t>
      </w:r>
      <w:r>
        <w:rPr>
          <w:rFonts w:ascii="宋体" w:hAnsi="宋体" w:hint="eastAsia"/>
          <w:kern w:val="0"/>
          <w:sz w:val="24"/>
          <w:szCs w:val="20"/>
        </w:rPr>
        <w:t>本</w:t>
      </w:r>
      <w:r>
        <w:rPr>
          <w:rFonts w:ascii="宋体" w:hAnsi="宋体" w:hint="eastAsia"/>
          <w:sz w:val="24"/>
          <w:szCs w:val="21"/>
        </w:rPr>
        <w:t>基金投资除核心存款银行以外的银行存款出现由于存款银行信用风险而造成的损失时，先由基金管理人负责赔偿，之后有权要求相关责任人进行赔偿。基金管理人在通知基金托管人后，可以根据当时的市场情况对于核心存款银行名单进行调整。</w:t>
      </w:r>
      <w:r>
        <w:rPr>
          <w:rFonts w:ascii="宋体" w:cs="宋体" w:hint="eastAsia"/>
          <w:color w:val="000000"/>
          <w:kern w:val="0"/>
          <w:sz w:val="24"/>
        </w:rPr>
        <w:t>基金托管人的监督责任仅限于根据已提供的名单，审核核心存款银行是否在名单内列明。</w:t>
      </w:r>
    </w:p>
    <w:p w:rsidR="00A674F9" w:rsidRDefault="00CD789A">
      <w:pPr>
        <w:spacing w:line="440" w:lineRule="exact"/>
        <w:ind w:firstLineChars="215" w:firstLine="516"/>
        <w:rPr>
          <w:rFonts w:ascii="宋体" w:hAnsi="宋体"/>
          <w:sz w:val="24"/>
          <w:szCs w:val="28"/>
        </w:rPr>
      </w:pPr>
      <w:r>
        <w:rPr>
          <w:rFonts w:ascii="宋体" w:hAnsi="宋体" w:hint="eastAsia"/>
          <w:sz w:val="24"/>
          <w:szCs w:val="28"/>
        </w:rPr>
        <w:t>6</w:t>
      </w:r>
      <w:r>
        <w:rPr>
          <w:rFonts w:ascii="宋体" w:hAnsi="宋体" w:hint="eastAsia"/>
          <w:sz w:val="24"/>
          <w:szCs w:val="28"/>
        </w:rPr>
        <w:t>、基金托管人对基金投资流通受限证券的监督</w:t>
      </w:r>
    </w:p>
    <w:p w:rsidR="00A674F9" w:rsidRDefault="00CD789A">
      <w:pPr>
        <w:spacing w:line="360" w:lineRule="auto"/>
        <w:ind w:firstLineChars="200" w:firstLine="480"/>
        <w:rPr>
          <w:rFonts w:ascii="宋体" w:hAnsi="宋体"/>
          <w:sz w:val="24"/>
          <w:szCs w:val="28"/>
        </w:rPr>
      </w:pPr>
      <w:r>
        <w:rPr>
          <w:rFonts w:ascii="宋体" w:hAnsi="宋体" w:hint="eastAsia"/>
          <w:sz w:val="24"/>
          <w:szCs w:val="28"/>
        </w:rPr>
        <w:t>（</w:t>
      </w:r>
      <w:r>
        <w:rPr>
          <w:rFonts w:ascii="宋体" w:hAnsi="宋体" w:hint="eastAsia"/>
          <w:sz w:val="24"/>
          <w:szCs w:val="28"/>
        </w:rPr>
        <w:t>1</w:t>
      </w:r>
      <w:r>
        <w:rPr>
          <w:rFonts w:ascii="宋体" w:hAnsi="宋体" w:hint="eastAsia"/>
          <w:sz w:val="24"/>
          <w:szCs w:val="28"/>
        </w:rPr>
        <w:t>）基金投资流通受限证券，应遵守《关于规范基金投资非公开发行证券行为的紧急通知》、《关于基金投资非公开发行股票等流通受限证券有关问题的通知》等有关法律法规规定。</w:t>
      </w:r>
    </w:p>
    <w:p w:rsidR="00A674F9" w:rsidRDefault="00CD789A">
      <w:pPr>
        <w:spacing w:line="360" w:lineRule="auto"/>
        <w:ind w:firstLineChars="200" w:firstLine="480"/>
        <w:rPr>
          <w:rFonts w:ascii="宋体" w:hAnsi="宋体"/>
          <w:sz w:val="24"/>
          <w:szCs w:val="28"/>
        </w:rPr>
      </w:pPr>
      <w:r>
        <w:rPr>
          <w:rFonts w:ascii="宋体" w:hAnsi="宋体" w:hint="eastAsia"/>
          <w:sz w:val="24"/>
          <w:szCs w:val="28"/>
        </w:rPr>
        <w:t>（</w:t>
      </w:r>
      <w:r>
        <w:rPr>
          <w:rFonts w:ascii="宋体" w:hAnsi="宋体" w:hint="eastAsia"/>
          <w:sz w:val="24"/>
          <w:szCs w:val="28"/>
        </w:rPr>
        <w:t>2</w:t>
      </w:r>
      <w:r>
        <w:rPr>
          <w:rFonts w:ascii="宋体" w:hAnsi="宋体" w:hint="eastAsia"/>
          <w:sz w:val="24"/>
          <w:szCs w:val="28"/>
        </w:rPr>
        <w:t>）流通</w:t>
      </w:r>
      <w:r>
        <w:rPr>
          <w:rFonts w:ascii="宋体" w:hAnsi="宋体" w:hint="eastAsia"/>
          <w:sz w:val="24"/>
          <w:szCs w:val="28"/>
        </w:rPr>
        <w:t>受限证券，包括由《上市公司证券发行管理办法》规范的非公开发行股票、公开发行股票网下配售部分等在发行时明确一定期限锁定期的可交易证券</w:t>
      </w:r>
      <w:r>
        <w:rPr>
          <w:rFonts w:ascii="宋体" w:hAnsi="宋体"/>
          <w:sz w:val="24"/>
          <w:szCs w:val="28"/>
        </w:rPr>
        <w:t>,</w:t>
      </w:r>
      <w:r>
        <w:rPr>
          <w:rFonts w:ascii="宋体" w:hAnsi="宋体" w:hint="eastAsia"/>
          <w:sz w:val="24"/>
          <w:szCs w:val="28"/>
        </w:rPr>
        <w:t>不包括由于发布重大消息或其他原因而临时停牌的证券、已发行未上市证券、回购交易中的质押券等流通受限证券。</w:t>
      </w:r>
    </w:p>
    <w:p w:rsidR="00A674F9" w:rsidRDefault="00CD789A">
      <w:pPr>
        <w:spacing w:line="360" w:lineRule="auto"/>
        <w:ind w:firstLineChars="200" w:firstLine="480"/>
        <w:rPr>
          <w:rFonts w:ascii="宋体" w:hAnsi="宋体"/>
          <w:sz w:val="24"/>
          <w:szCs w:val="28"/>
        </w:rPr>
      </w:pPr>
      <w:r>
        <w:rPr>
          <w:rFonts w:ascii="宋体" w:hAnsi="宋体" w:hint="eastAsia"/>
          <w:sz w:val="24"/>
          <w:szCs w:val="28"/>
        </w:rPr>
        <w:t>（</w:t>
      </w:r>
      <w:r>
        <w:rPr>
          <w:rFonts w:ascii="宋体" w:hAnsi="宋体" w:hint="eastAsia"/>
          <w:sz w:val="24"/>
          <w:szCs w:val="28"/>
        </w:rPr>
        <w:t>3</w:t>
      </w:r>
      <w:r>
        <w:rPr>
          <w:rFonts w:ascii="宋体" w:hAnsi="宋体" w:hint="eastAsia"/>
          <w:sz w:val="24"/>
          <w:szCs w:val="28"/>
        </w:rPr>
        <w:t>）基金管理人应在基金首次投资流通受限证券前，向基金托管人提供经基金管理人董事会批准的有关基金投资流通受限证券的投资决策流程、风险控制</w:t>
      </w:r>
      <w:r>
        <w:rPr>
          <w:rFonts w:ascii="宋体" w:hAnsi="宋体" w:hint="eastAsia"/>
          <w:sz w:val="24"/>
          <w:szCs w:val="28"/>
        </w:rPr>
        <w:lastRenderedPageBreak/>
        <w:t>制度。基金投资非公开发行股票，基金管理人还应提供基金管理人董事会批准的流动性风险处置预案。上述资料应包括但不限于基金投资流通受限证券的投资额度和投资比例控制情况。</w:t>
      </w:r>
    </w:p>
    <w:p w:rsidR="00A674F9" w:rsidRDefault="00CD789A">
      <w:pPr>
        <w:spacing w:line="360" w:lineRule="auto"/>
        <w:ind w:firstLineChars="200" w:firstLine="480"/>
        <w:rPr>
          <w:rFonts w:ascii="宋体" w:hAnsi="宋体"/>
          <w:sz w:val="24"/>
          <w:szCs w:val="28"/>
        </w:rPr>
      </w:pPr>
      <w:r>
        <w:rPr>
          <w:rFonts w:ascii="宋体" w:hAnsi="宋体" w:hint="eastAsia"/>
          <w:sz w:val="24"/>
          <w:szCs w:val="28"/>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A674F9" w:rsidRDefault="00CD789A">
      <w:pPr>
        <w:spacing w:after="120" w:line="360" w:lineRule="auto"/>
        <w:ind w:firstLineChars="200" w:firstLine="480"/>
        <w:rPr>
          <w:rFonts w:ascii="宋体" w:hAnsi="宋体"/>
          <w:sz w:val="24"/>
          <w:szCs w:val="28"/>
        </w:rPr>
      </w:pPr>
      <w:r>
        <w:rPr>
          <w:rFonts w:ascii="宋体" w:hAnsi="宋体" w:hint="eastAsia"/>
          <w:sz w:val="24"/>
          <w:szCs w:val="28"/>
        </w:rPr>
        <w:t>（</w:t>
      </w:r>
      <w:r>
        <w:rPr>
          <w:rFonts w:ascii="宋体" w:hAnsi="宋体" w:hint="eastAsia"/>
          <w:sz w:val="24"/>
          <w:szCs w:val="28"/>
        </w:rPr>
        <w:t>4</w:t>
      </w:r>
      <w:r>
        <w:rPr>
          <w:rFonts w:ascii="宋体" w:hAnsi="宋体" w:hint="eastAsia"/>
          <w:sz w:val="24"/>
          <w:szCs w:val="28"/>
        </w:rPr>
        <w:t>）基金</w:t>
      </w:r>
      <w:r>
        <w:rPr>
          <w:rFonts w:ascii="宋体" w:hAnsi="宋体" w:hint="eastAsia"/>
          <w:sz w:val="24"/>
          <w:szCs w:val="28"/>
        </w:rPr>
        <w:t>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rsidR="00A674F9" w:rsidRDefault="00CD789A">
      <w:pPr>
        <w:spacing w:after="120" w:line="360" w:lineRule="auto"/>
        <w:ind w:firstLineChars="200" w:firstLine="480"/>
        <w:rPr>
          <w:rFonts w:ascii="宋体" w:hAnsi="宋体"/>
          <w:sz w:val="24"/>
          <w:szCs w:val="28"/>
        </w:rPr>
      </w:pPr>
      <w:r>
        <w:rPr>
          <w:rFonts w:ascii="宋体" w:hAnsi="宋体" w:hint="eastAsia"/>
          <w:sz w:val="24"/>
          <w:szCs w:val="28"/>
        </w:rPr>
        <w:t>（</w:t>
      </w:r>
      <w:r>
        <w:rPr>
          <w:rFonts w:ascii="宋体" w:hAnsi="宋体" w:hint="eastAsia"/>
          <w:sz w:val="24"/>
          <w:szCs w:val="28"/>
        </w:rPr>
        <w:t>5</w:t>
      </w:r>
      <w:r>
        <w:rPr>
          <w:rFonts w:ascii="宋体" w:hAnsi="宋体" w:hint="eastAsia"/>
          <w:sz w:val="24"/>
          <w:szCs w:val="28"/>
        </w:rPr>
        <w:t>）</w:t>
      </w:r>
      <w:r>
        <w:rPr>
          <w:rFonts w:ascii="宋体" w:cs="宋体" w:hint="eastAsia"/>
          <w:color w:val="000000"/>
          <w:kern w:val="0"/>
          <w:sz w:val="24"/>
        </w:rPr>
        <w:t>基金托管人应按照《关于基金投资非公开发行股票等流通受限证券有关问题的通知》规定，对基金管</w:t>
      </w:r>
      <w:r>
        <w:rPr>
          <w:rFonts w:ascii="宋体" w:cs="宋体" w:hint="eastAsia"/>
          <w:color w:val="000000"/>
          <w:kern w:val="0"/>
          <w:sz w:val="24"/>
        </w:rPr>
        <w:t>理人是否遵守法律法规进行监督，并审核基金管理人提供的有关书面信息。</w:t>
      </w:r>
      <w:r>
        <w:rPr>
          <w:rFonts w:ascii="宋体" w:hAnsi="宋体" w:hint="eastAsia"/>
          <w:sz w:val="24"/>
          <w:szCs w:val="28"/>
        </w:rPr>
        <w:t>基金托管人认为上述资料可能导致基金出现风险的，有权要求基金管理人在</w:t>
      </w:r>
      <w:r>
        <w:rPr>
          <w:rFonts w:ascii="宋体" w:hAnsi="宋体" w:hint="eastAsia"/>
          <w:sz w:val="24"/>
          <w:szCs w:val="21"/>
        </w:rPr>
        <w:t>投资</w:t>
      </w:r>
      <w:r>
        <w:rPr>
          <w:rFonts w:ascii="宋体" w:hAnsi="宋体" w:hint="eastAsia"/>
          <w:sz w:val="24"/>
        </w:rPr>
        <w:t>流通受限证券前</w:t>
      </w:r>
      <w:r>
        <w:rPr>
          <w:rFonts w:ascii="宋体" w:hAnsi="宋体" w:hint="eastAsia"/>
          <w:sz w:val="24"/>
          <w:szCs w:val="28"/>
        </w:rPr>
        <w:t>就该风险的消除或防范措施进行补充书面说明，并保留查看基金管理人风险管理部门就基金投资流通受限证券出具的风险评估报告等备查资料的权利。否则，基金托管人有权拒绝执行有关指令。</w:t>
      </w:r>
      <w:r>
        <w:rPr>
          <w:rFonts w:ascii="宋体" w:hAnsi="宋体" w:hint="eastAsia"/>
          <w:sz w:val="24"/>
          <w:szCs w:val="21"/>
        </w:rPr>
        <w:t>因拒绝执行该指令造成基金财产损失的，基金托管人不承担任何责任，并有权报告中国证监会。</w:t>
      </w:r>
    </w:p>
    <w:p w:rsidR="00A674F9" w:rsidRDefault="00CD789A">
      <w:pPr>
        <w:spacing w:after="120" w:line="360" w:lineRule="auto"/>
        <w:ind w:firstLineChars="200" w:firstLine="480"/>
        <w:rPr>
          <w:rFonts w:ascii="宋体" w:hAnsi="宋体"/>
          <w:sz w:val="24"/>
          <w:szCs w:val="21"/>
        </w:rPr>
      </w:pPr>
      <w:r>
        <w:rPr>
          <w:rFonts w:ascii="宋体" w:hAnsi="宋体" w:hint="eastAsia"/>
          <w:sz w:val="24"/>
          <w:szCs w:val="21"/>
        </w:rPr>
        <w:t>如基金管理人和基金托管人无法达成一致，应及时上报中国证监会请求解决。如果基金托管人</w:t>
      </w:r>
      <w:r>
        <w:rPr>
          <w:rFonts w:ascii="宋体" w:hAnsi="宋体"/>
          <w:sz w:val="24"/>
          <w:szCs w:val="21"/>
        </w:rPr>
        <w:t>切实履行监督职责</w:t>
      </w:r>
      <w:r>
        <w:rPr>
          <w:rFonts w:ascii="宋体" w:hAnsi="宋体" w:hint="eastAsia"/>
          <w:sz w:val="24"/>
          <w:szCs w:val="21"/>
        </w:rPr>
        <w:t>，则不承</w:t>
      </w:r>
      <w:r>
        <w:rPr>
          <w:rFonts w:ascii="宋体" w:hAnsi="宋体" w:hint="eastAsia"/>
          <w:sz w:val="24"/>
          <w:szCs w:val="21"/>
        </w:rPr>
        <w:t>担任何责任。</w:t>
      </w:r>
      <w:r>
        <w:rPr>
          <w:rFonts w:ascii="宋体" w:hAnsi="宋体"/>
          <w:sz w:val="24"/>
          <w:szCs w:val="21"/>
        </w:rPr>
        <w:t>如果基金托管</w:t>
      </w:r>
      <w:r>
        <w:rPr>
          <w:rFonts w:ascii="宋体" w:hAnsi="宋体" w:hint="eastAsia"/>
          <w:sz w:val="24"/>
          <w:szCs w:val="21"/>
        </w:rPr>
        <w:t>人</w:t>
      </w:r>
      <w:r>
        <w:rPr>
          <w:rFonts w:ascii="宋体" w:hAnsi="宋体"/>
          <w:sz w:val="24"/>
          <w:szCs w:val="21"/>
        </w:rPr>
        <w:t>没有切实履行监督职责，导致基金出现风险，基金托管</w:t>
      </w:r>
      <w:r>
        <w:rPr>
          <w:rFonts w:ascii="宋体" w:hAnsi="宋体" w:hint="eastAsia"/>
          <w:sz w:val="24"/>
          <w:szCs w:val="21"/>
        </w:rPr>
        <w:t>人</w:t>
      </w:r>
      <w:r>
        <w:rPr>
          <w:rFonts w:ascii="宋体" w:hAnsi="宋体"/>
          <w:sz w:val="24"/>
          <w:szCs w:val="21"/>
        </w:rPr>
        <w:t>应承担连带责任。</w:t>
      </w:r>
    </w:p>
    <w:p w:rsidR="00A674F9" w:rsidRDefault="00CD789A">
      <w:pPr>
        <w:pStyle w:val="2"/>
        <w:keepNext w:val="0"/>
        <w:keepLines w:val="0"/>
        <w:autoSpaceDE w:val="0"/>
        <w:autoSpaceDN w:val="0"/>
        <w:adjustRightInd w:val="0"/>
        <w:spacing w:before="0" w:after="0" w:line="360" w:lineRule="auto"/>
        <w:ind w:firstLineChars="150" w:firstLine="360"/>
        <w:textAlignment w:val="baseline"/>
        <w:rPr>
          <w:rFonts w:ascii="宋体" w:eastAsia="宋体" w:hAnsi="宋体"/>
          <w:b w:val="0"/>
          <w:sz w:val="24"/>
          <w:szCs w:val="21"/>
        </w:rPr>
      </w:pPr>
      <w:r>
        <w:rPr>
          <w:rFonts w:ascii="宋体" w:eastAsia="宋体" w:hAnsi="宋体" w:hint="eastAsia"/>
          <w:b w:val="0"/>
          <w:sz w:val="24"/>
          <w:szCs w:val="21"/>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A674F9" w:rsidRDefault="00CD789A">
      <w:pPr>
        <w:pStyle w:val="2"/>
        <w:keepNext w:val="0"/>
        <w:keepLines w:val="0"/>
        <w:autoSpaceDE w:val="0"/>
        <w:autoSpaceDN w:val="0"/>
        <w:adjustRightInd w:val="0"/>
        <w:spacing w:before="0" w:after="0" w:line="360" w:lineRule="auto"/>
        <w:ind w:firstLineChars="150" w:firstLine="360"/>
        <w:textAlignment w:val="baseline"/>
        <w:rPr>
          <w:rFonts w:ascii="宋体" w:eastAsia="宋体" w:hAnsi="宋体"/>
          <w:b w:val="0"/>
          <w:sz w:val="24"/>
          <w:szCs w:val="21"/>
        </w:rPr>
      </w:pPr>
      <w:r>
        <w:rPr>
          <w:rFonts w:ascii="宋体" w:eastAsia="宋体" w:hAnsi="宋体" w:hint="eastAsia"/>
          <w:b w:val="0"/>
          <w:sz w:val="24"/>
          <w:szCs w:val="21"/>
        </w:rPr>
        <w:t>（三）基金托管人发现基金管理人的投资运作及其他运作违反《基金法》、《基</w:t>
      </w:r>
      <w:r>
        <w:rPr>
          <w:rFonts w:ascii="宋体" w:eastAsia="宋体" w:hAnsi="宋体" w:hint="eastAsia"/>
          <w:b w:val="0"/>
          <w:sz w:val="24"/>
          <w:szCs w:val="21"/>
        </w:rPr>
        <w:lastRenderedPageBreak/>
        <w:t>金合同》、基金托管协议有关规定时，应及时以书面形式通知基金管理人限期纠正，基金管理人收到书面通知后应在下一个工作日及时核对，</w:t>
      </w:r>
      <w:r>
        <w:rPr>
          <w:rFonts w:ascii="宋体" w:eastAsia="宋体" w:hAnsi="宋体" w:hint="eastAsia"/>
          <w:b w:val="0"/>
          <w:sz w:val="24"/>
          <w:szCs w:val="21"/>
        </w:rPr>
        <w:t>并以书面形式向基金托管人发出回函，就基金托管人的合理疑义进行解释或举证。</w:t>
      </w:r>
    </w:p>
    <w:p w:rsidR="00A674F9" w:rsidRDefault="00CD789A">
      <w:pPr>
        <w:spacing w:line="360" w:lineRule="auto"/>
        <w:ind w:firstLineChars="200" w:firstLine="480"/>
        <w:rPr>
          <w:rFonts w:ascii="宋体" w:hAnsi="宋体"/>
          <w:sz w:val="24"/>
          <w:szCs w:val="21"/>
        </w:rPr>
      </w:pPr>
      <w:r>
        <w:rPr>
          <w:rFonts w:ascii="宋体" w:hAnsi="宋体" w:hint="eastAsia"/>
          <w:sz w:val="24"/>
          <w:szCs w:val="21"/>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rsidR="00A674F9" w:rsidRDefault="00CD789A">
      <w:pPr>
        <w:pStyle w:val="a6"/>
        <w:spacing w:line="440" w:lineRule="exact"/>
        <w:ind w:firstLineChars="200" w:firstLine="480"/>
        <w:rPr>
          <w:sz w:val="24"/>
        </w:rPr>
      </w:pPr>
      <w:r>
        <w:rPr>
          <w:rFonts w:hAnsi="宋体" w:hint="eastAsia"/>
          <w:sz w:val="24"/>
          <w:szCs w:val="21"/>
        </w:rPr>
        <w:t>对于依据交易程序尚未成交的且基金托管人在交易前能够监控的投资指令，基金托管人发现</w:t>
      </w:r>
      <w:r>
        <w:rPr>
          <w:rFonts w:hint="eastAsia"/>
          <w:sz w:val="24"/>
        </w:rPr>
        <w:t>该投资指令违反关法律法规规定或者违反《基金合同》约定的，应当拒绝执行，立即通知基金管理人，并向中国证监会报告。</w:t>
      </w:r>
    </w:p>
    <w:p w:rsidR="00A674F9" w:rsidRDefault="00CD789A">
      <w:pPr>
        <w:pStyle w:val="a6"/>
        <w:spacing w:line="440" w:lineRule="exact"/>
        <w:ind w:firstLineChars="200" w:firstLine="480"/>
        <w:rPr>
          <w:rFonts w:hAnsi="宋体"/>
          <w:sz w:val="24"/>
          <w:szCs w:val="21"/>
        </w:rPr>
      </w:pPr>
      <w:r>
        <w:rPr>
          <w:rFonts w:hAnsi="宋体" w:hint="eastAsia"/>
          <w:sz w:val="24"/>
          <w:szCs w:val="21"/>
        </w:rPr>
        <w:t>对于必须于估值完成后方可获知的监控指标或依据交易程序已经成交的投资指令，基金托管人发现该投资指令违反法律法规或者违反《基金合同》约定的，应当立即通知基金管理人，并报告中国证监会。</w:t>
      </w:r>
    </w:p>
    <w:p w:rsidR="00A674F9" w:rsidRDefault="00CD789A">
      <w:pPr>
        <w:spacing w:line="440" w:lineRule="exact"/>
        <w:ind w:firstLineChars="200" w:firstLine="480"/>
        <w:rPr>
          <w:rFonts w:ascii="宋体" w:hAnsi="宋体"/>
          <w:sz w:val="24"/>
          <w:szCs w:val="21"/>
        </w:rPr>
      </w:pPr>
      <w:r>
        <w:rPr>
          <w:rFonts w:ascii="宋体" w:hAnsi="宋体" w:hint="eastAsia"/>
          <w:sz w:val="24"/>
          <w:szCs w:val="21"/>
        </w:rPr>
        <w:t>基金管理人应积极配合和协助基金托管人的监督和核查，必须在规定时间内答复基金托管人并改正，就基金托管人合理的疑义进行解释或举证，对基金托管人按照法规要求需向中国证监会报送基金监督报告的，基金管理人应积极配合提供相关数据资料和制度等。</w:t>
      </w:r>
    </w:p>
    <w:p w:rsidR="00A674F9" w:rsidRDefault="00CD789A">
      <w:pPr>
        <w:spacing w:line="440" w:lineRule="exact"/>
        <w:ind w:firstLineChars="200" w:firstLine="480"/>
        <w:rPr>
          <w:rFonts w:ascii="宋体" w:hAnsi="宋体"/>
          <w:sz w:val="24"/>
          <w:szCs w:val="21"/>
        </w:rPr>
      </w:pPr>
      <w:r>
        <w:rPr>
          <w:rFonts w:ascii="宋体" w:hAnsi="宋体" w:hint="eastAsia"/>
          <w:sz w:val="24"/>
          <w:szCs w:val="21"/>
        </w:rPr>
        <w:t>基金托管人发现基金管理人有重大违规行为，应立即报告中国证监会，同时通知基金管理人限期纠正。</w:t>
      </w:r>
    </w:p>
    <w:p w:rsidR="00A674F9" w:rsidRDefault="00CD789A">
      <w:pPr>
        <w:spacing w:line="440" w:lineRule="exact"/>
        <w:ind w:firstLineChars="200" w:firstLine="480"/>
        <w:rPr>
          <w:rFonts w:ascii="宋体" w:hAnsi="宋体"/>
          <w:sz w:val="24"/>
          <w:szCs w:val="21"/>
        </w:rPr>
      </w:pPr>
      <w:r>
        <w:rPr>
          <w:rFonts w:ascii="宋体" w:hAnsi="宋体" w:hint="eastAsia"/>
          <w:sz w:val="24"/>
          <w:szCs w:val="21"/>
        </w:rPr>
        <w:t>基金管理</w:t>
      </w:r>
      <w:r>
        <w:rPr>
          <w:rFonts w:ascii="宋体" w:hAnsi="宋体" w:hint="eastAsia"/>
          <w:sz w:val="24"/>
          <w:szCs w:val="21"/>
        </w:rPr>
        <w:t>人无正当理由，拒绝、阻挠基金托管人根据本协议规定行使监督权，或采取拖延、欺诈等手段妨碍基金托管人进行有效监督，情节严重或经基金托管人提出警告仍不改正的，基金托管人应报告中国证监会。</w:t>
      </w:r>
    </w:p>
    <w:p w:rsidR="00A674F9" w:rsidRDefault="00CD789A">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46" w:name="_Toc124749939"/>
      <w:bookmarkStart w:id="47" w:name="_Toc140002339"/>
      <w:bookmarkStart w:id="48" w:name="_Toc124749228"/>
      <w:bookmarkStart w:id="49" w:name="_Toc125361076"/>
      <w:bookmarkStart w:id="50" w:name="_Toc123705448"/>
      <w:r>
        <w:rPr>
          <w:rFonts w:ascii="宋体" w:hAnsi="宋体" w:cs="Arial" w:hint="eastAsia"/>
          <w:sz w:val="30"/>
        </w:rPr>
        <w:t>基金管理人对基金托管人的业务核查</w:t>
      </w:r>
      <w:bookmarkEnd w:id="46"/>
      <w:bookmarkEnd w:id="47"/>
      <w:bookmarkEnd w:id="48"/>
      <w:bookmarkEnd w:id="49"/>
      <w:bookmarkEnd w:id="50"/>
    </w:p>
    <w:p w:rsidR="00A674F9" w:rsidRDefault="00CD789A">
      <w:pPr>
        <w:spacing w:line="360" w:lineRule="auto"/>
        <w:ind w:firstLineChars="200" w:firstLine="480"/>
        <w:rPr>
          <w:rFonts w:ascii="宋体" w:hAnsi="宋体"/>
          <w:sz w:val="24"/>
          <w:szCs w:val="21"/>
        </w:rPr>
      </w:pPr>
      <w:r>
        <w:rPr>
          <w:rFonts w:ascii="宋体" w:hAnsi="宋体" w:hint="eastAsia"/>
          <w:sz w:val="24"/>
          <w:szCs w:val="21"/>
        </w:rPr>
        <w:t>基金管理人对基金托管人履行托管职责情况进行核查，核查事项包括但不限于基金托管人安全保管基金财产、开设基金财产的资金账户和证券账户、复核基金管理人计算的基金资产净值和基金份额净值、根据管理人指令办理清算交收、相关信息披露和监督基金投资运作等行为。</w:t>
      </w:r>
    </w:p>
    <w:p w:rsidR="00A674F9" w:rsidRDefault="00CD789A">
      <w:pPr>
        <w:spacing w:line="360" w:lineRule="auto"/>
        <w:ind w:firstLineChars="200" w:firstLine="480"/>
        <w:rPr>
          <w:rFonts w:ascii="宋体" w:hAnsi="宋体"/>
          <w:sz w:val="24"/>
          <w:szCs w:val="21"/>
        </w:rPr>
      </w:pPr>
      <w:r>
        <w:rPr>
          <w:rFonts w:ascii="宋体" w:hAnsi="宋体" w:hint="eastAsia"/>
          <w:sz w:val="24"/>
          <w:szCs w:val="21"/>
        </w:rPr>
        <w:t>基金管理人发现基金托管人擅自挪用基金财产、未对基金</w:t>
      </w:r>
      <w:r>
        <w:rPr>
          <w:rFonts w:ascii="宋体" w:hAnsi="宋体" w:hint="eastAsia"/>
          <w:sz w:val="24"/>
          <w:szCs w:val="21"/>
        </w:rPr>
        <w:t>财产实行分账管理、无故未执行或无故延迟执行基金管理人资金划拨指令、泄露基金投资信息等违反</w:t>
      </w:r>
      <w:r>
        <w:rPr>
          <w:rFonts w:ascii="宋体" w:hAnsi="宋体" w:hint="eastAsia"/>
          <w:sz w:val="24"/>
          <w:szCs w:val="21"/>
        </w:rPr>
        <w:lastRenderedPageBreak/>
        <w:t>《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w:t>
      </w:r>
      <w:r>
        <w:rPr>
          <w:rFonts w:ascii="宋体" w:hAnsi="宋体" w:hint="eastAsia"/>
          <w:kern w:val="0"/>
          <w:sz w:val="24"/>
        </w:rPr>
        <w:t>基金管理人有义务要求基金托管人赔偿基金因此所遭受的损失。</w:t>
      </w:r>
    </w:p>
    <w:p w:rsidR="00A674F9" w:rsidRDefault="00CD789A">
      <w:pPr>
        <w:spacing w:line="360" w:lineRule="auto"/>
        <w:ind w:firstLineChars="200" w:firstLine="480"/>
        <w:rPr>
          <w:rFonts w:ascii="宋体" w:hAnsi="宋体"/>
          <w:sz w:val="24"/>
          <w:szCs w:val="21"/>
        </w:rPr>
      </w:pPr>
      <w:r>
        <w:rPr>
          <w:rFonts w:ascii="宋体" w:hAnsi="宋体" w:hint="eastAsia"/>
          <w:sz w:val="24"/>
          <w:szCs w:val="21"/>
        </w:rPr>
        <w:t>基金管理人发现基金托管人有重</w:t>
      </w:r>
      <w:r>
        <w:rPr>
          <w:rFonts w:ascii="宋体" w:hAnsi="宋体" w:hint="eastAsia"/>
          <w:sz w:val="24"/>
          <w:szCs w:val="21"/>
        </w:rPr>
        <w:t>大违规行为，应立即报告中国证监会和银行业监督管理机构，同时通知基金托管人限期纠正。</w:t>
      </w:r>
    </w:p>
    <w:p w:rsidR="00A674F9" w:rsidRDefault="00CD789A">
      <w:pPr>
        <w:spacing w:line="360" w:lineRule="auto"/>
        <w:ind w:firstLineChars="200" w:firstLine="480"/>
        <w:rPr>
          <w:rFonts w:ascii="宋体" w:hAnsi="宋体"/>
          <w:sz w:val="24"/>
          <w:szCs w:val="21"/>
        </w:rPr>
      </w:pPr>
      <w:r>
        <w:rPr>
          <w:rFonts w:ascii="宋体" w:hAnsi="宋体" w:hint="eastAsia"/>
          <w:sz w:val="24"/>
          <w:szCs w:val="21"/>
        </w:rPr>
        <w:t>基金托管人应积极配合基金管理人的核查行为，包括但不限于：提交相关资料以供基金管理人核查托管财产的完整性和真实性，在规定时间内答复基金管理人并改正。</w:t>
      </w:r>
    </w:p>
    <w:p w:rsidR="00A674F9" w:rsidRDefault="00CD789A">
      <w:pPr>
        <w:pStyle w:val="20"/>
        <w:spacing w:after="0"/>
        <w:rPr>
          <w:color w:val="auto"/>
          <w:szCs w:val="21"/>
        </w:rPr>
      </w:pPr>
      <w:r>
        <w:rPr>
          <w:rFonts w:hint="eastAsia"/>
          <w:color w:val="auto"/>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A674F9" w:rsidRDefault="00CD789A">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51" w:name="_Hlt88903324"/>
      <w:bookmarkStart w:id="52" w:name="_Toc523829995"/>
      <w:bookmarkStart w:id="53" w:name="_Toc48703889"/>
      <w:bookmarkStart w:id="54" w:name="_Toc466788854"/>
      <w:bookmarkStart w:id="55" w:name="_Toc22454437"/>
      <w:bookmarkStart w:id="56" w:name="_Toc124749229"/>
      <w:bookmarkStart w:id="57" w:name="_Toc125361077"/>
      <w:bookmarkStart w:id="58" w:name="_Toc123626171"/>
      <w:bookmarkStart w:id="59" w:name="_Toc140002340"/>
      <w:bookmarkStart w:id="60" w:name="_Toc124749940"/>
      <w:bookmarkEnd w:id="51"/>
      <w:r>
        <w:rPr>
          <w:rFonts w:ascii="宋体" w:hAnsi="宋体" w:cs="Arial" w:hint="eastAsia"/>
          <w:sz w:val="30"/>
        </w:rPr>
        <w:t>基金财产保管</w:t>
      </w:r>
      <w:bookmarkEnd w:id="52"/>
      <w:bookmarkEnd w:id="53"/>
      <w:bookmarkEnd w:id="54"/>
      <w:bookmarkEnd w:id="55"/>
      <w:bookmarkEnd w:id="56"/>
      <w:bookmarkEnd w:id="57"/>
      <w:bookmarkEnd w:id="58"/>
      <w:bookmarkEnd w:id="59"/>
      <w:bookmarkEnd w:id="60"/>
    </w:p>
    <w:p w:rsidR="00A674F9" w:rsidRDefault="00CD789A">
      <w:pPr>
        <w:pStyle w:val="2"/>
        <w:keepNext w:val="0"/>
        <w:keepLines w:val="0"/>
        <w:autoSpaceDE w:val="0"/>
        <w:autoSpaceDN w:val="0"/>
        <w:adjustRightInd w:val="0"/>
        <w:spacing w:before="0" w:after="0" w:line="360" w:lineRule="auto"/>
        <w:ind w:firstLineChars="150" w:firstLine="360"/>
        <w:textAlignment w:val="baseline"/>
        <w:rPr>
          <w:rFonts w:ascii="宋体" w:eastAsia="宋体" w:hAnsi="宋体"/>
          <w:b w:val="0"/>
          <w:bCs w:val="0"/>
          <w:sz w:val="24"/>
          <w:szCs w:val="24"/>
        </w:rPr>
      </w:pPr>
      <w:bookmarkStart w:id="61" w:name="_Toc37159173"/>
      <w:r>
        <w:rPr>
          <w:rFonts w:ascii="宋体" w:eastAsia="宋体" w:hAnsi="宋体" w:hint="eastAsia"/>
          <w:b w:val="0"/>
          <w:bCs w:val="0"/>
          <w:sz w:val="24"/>
          <w:szCs w:val="24"/>
        </w:rPr>
        <w:t>（一）基金财产保管的原则</w:t>
      </w:r>
      <w:bookmarkStart w:id="62" w:name="_Hlt88903033"/>
      <w:bookmarkEnd w:id="61"/>
      <w:bookmarkEnd w:id="62"/>
    </w:p>
    <w:p w:rsidR="00A674F9" w:rsidRDefault="00CD789A">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、基金财产应独立于基金管理人、基金托管人的固有财产。</w:t>
      </w:r>
    </w:p>
    <w:p w:rsidR="00A674F9" w:rsidRDefault="00CD789A">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、基金托管人应安全保管基金财产。未经基金管理人的正当指令，不得自行运用、处分、分配基金的任何财产。</w:t>
      </w:r>
    </w:p>
    <w:p w:rsidR="00A674F9" w:rsidRDefault="00CD789A">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、基金托管人按照规定开设基金财产的资金账户和证券账户。</w:t>
      </w:r>
    </w:p>
    <w:p w:rsidR="00A674F9" w:rsidRDefault="00CD789A">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、基金托管人对所托管的不同基金财产分别设置账户，与基金托管人的其他业务和其他基金的托管业务实行严格的分账管理，确保基金财产的完整与独立。</w:t>
      </w:r>
    </w:p>
    <w:p w:rsidR="00A674F9" w:rsidRDefault="00CD789A">
      <w:pPr>
        <w:numPr>
          <w:ilvl w:val="0"/>
          <w:numId w:val="2"/>
        </w:numPr>
        <w:spacing w:line="360" w:lineRule="auto"/>
        <w:ind w:left="0" w:firstLine="397"/>
        <w:rPr>
          <w:rFonts w:ascii="宋体" w:hAnsi="宋体"/>
          <w:sz w:val="24"/>
        </w:rPr>
      </w:pPr>
      <w:r>
        <w:rPr>
          <w:rFonts w:ascii="宋体" w:hAnsi="宋体" w:hint="eastAsia"/>
          <w:sz w:val="24"/>
        </w:rPr>
        <w:t>对于因基金认（申）购、基金投资过程中产生的应收财产，应由基金管理人负责与有关当事人确定到账日期并通知基金托管人，到账日基金财产没有到达基金托管人处的，基金托</w:t>
      </w:r>
      <w:r>
        <w:rPr>
          <w:rFonts w:ascii="宋体" w:hAnsi="宋体" w:hint="eastAsia"/>
          <w:sz w:val="24"/>
        </w:rPr>
        <w:t>管人应及时通知基金管理人采取措施进行催收。由此给基金造成损失的，基金管理人应负责向有关当事人追偿基金的损失，基金托管人对此不承担责任。</w:t>
      </w:r>
      <w:bookmarkStart w:id="63" w:name="_Hlt88902859"/>
      <w:bookmarkEnd w:id="63"/>
    </w:p>
    <w:p w:rsidR="00A674F9" w:rsidRDefault="00CD789A">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64" w:name="_Toc37159174"/>
      <w:r>
        <w:rPr>
          <w:rFonts w:ascii="宋体" w:eastAsia="宋体" w:hAnsi="宋体" w:hint="eastAsia"/>
          <w:b w:val="0"/>
          <w:bCs w:val="0"/>
          <w:sz w:val="24"/>
          <w:szCs w:val="24"/>
        </w:rPr>
        <w:t>（二）募集资金的验证</w:t>
      </w:r>
      <w:bookmarkEnd w:id="64"/>
    </w:p>
    <w:p w:rsidR="00A674F9" w:rsidRDefault="00CD789A">
      <w:pPr>
        <w:spacing w:line="360" w:lineRule="auto"/>
        <w:ind w:firstLineChars="200" w:firstLine="480"/>
        <w:rPr>
          <w:rFonts w:ascii="宋体" w:hAnsi="宋体"/>
          <w:sz w:val="24"/>
        </w:rPr>
      </w:pPr>
      <w:r>
        <w:rPr>
          <w:rFonts w:ascii="宋体" w:hAnsi="宋体" w:hint="eastAsia"/>
          <w:sz w:val="24"/>
        </w:rPr>
        <w:lastRenderedPageBreak/>
        <w:t>募集期内销售机构按销售与服务代理协议的约定，将认购资金划入基金管理人在具有托管资格的商业银行开设的财通基金管理有限公司基金认购专户。该账户由基金管理人开立并管理。基金募集期满，募集的基金份额总额、基金募集金额、基金份额持有人人数符合《基金法》、《运作办法》等有关规定后，由基金管理人聘请具有从事证券业务资格的会计师事务所进行验资，出具验资报告，出具的验资</w:t>
      </w:r>
      <w:r>
        <w:rPr>
          <w:rFonts w:ascii="宋体" w:hAnsi="宋体" w:hint="eastAsia"/>
          <w:sz w:val="24"/>
        </w:rPr>
        <w:t>报告应由参加验资的</w:t>
      </w:r>
      <w:r>
        <w:rPr>
          <w:rFonts w:ascii="宋体" w:hAnsi="宋体"/>
          <w:sz w:val="24"/>
        </w:rPr>
        <w:t>2</w:t>
      </w:r>
      <w:r>
        <w:rPr>
          <w:rFonts w:ascii="宋体" w:hAnsi="宋体" w:hint="eastAsia"/>
          <w:sz w:val="24"/>
        </w:rPr>
        <w:t>名以上（含</w:t>
      </w:r>
      <w:r>
        <w:rPr>
          <w:rFonts w:ascii="宋体" w:hAnsi="宋体"/>
          <w:sz w:val="24"/>
        </w:rPr>
        <w:t>2</w:t>
      </w:r>
      <w:r>
        <w:rPr>
          <w:rFonts w:ascii="宋体" w:hAnsi="宋体" w:hint="eastAsia"/>
          <w:sz w:val="24"/>
        </w:rPr>
        <w:t>名）中国注册会计师签字有效。验资完成，基金管理人应将募集的</w:t>
      </w:r>
      <w:r>
        <w:rPr>
          <w:rFonts w:ascii="宋体" w:hAnsi="宋体" w:hint="eastAsia"/>
          <w:sz w:val="24"/>
          <w:szCs w:val="21"/>
        </w:rPr>
        <w:t>属于本基金财产的全部资金</w:t>
      </w:r>
      <w:r>
        <w:rPr>
          <w:rFonts w:ascii="宋体" w:hAnsi="宋体" w:hint="eastAsia"/>
          <w:sz w:val="24"/>
        </w:rPr>
        <w:t>划入基金托管人为基金开立的资产托管专户中，基金托管人在收到资金当日出具确认文件。</w:t>
      </w:r>
    </w:p>
    <w:p w:rsidR="00A674F9" w:rsidRDefault="00CD789A">
      <w:pPr>
        <w:pStyle w:val="a5"/>
        <w:spacing w:after="0" w:line="360" w:lineRule="auto"/>
        <w:ind w:leftChars="6" w:left="13" w:firstLineChars="200" w:firstLine="480"/>
        <w:rPr>
          <w:rFonts w:ascii="宋体" w:hAnsi="宋体" w:cs="Arial"/>
          <w:sz w:val="24"/>
          <w:szCs w:val="24"/>
        </w:rPr>
      </w:pPr>
      <w:r>
        <w:rPr>
          <w:rFonts w:ascii="宋体" w:hAnsi="宋体" w:cs="Arial" w:hint="eastAsia"/>
          <w:sz w:val="24"/>
          <w:szCs w:val="24"/>
        </w:rPr>
        <w:t>若基金募集期限届满，未能达到《基金合同》生效的条件，由基金管理人按规定办理退款事宜。</w:t>
      </w:r>
    </w:p>
    <w:p w:rsidR="00A674F9" w:rsidRDefault="00CD789A">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（三）基金的银行账户的开立和管理</w:t>
      </w:r>
    </w:p>
    <w:p w:rsidR="00A674F9" w:rsidRDefault="00CD789A">
      <w:pPr>
        <w:spacing w:line="360" w:lineRule="auto"/>
        <w:ind w:firstLineChars="200" w:firstLine="480"/>
        <w:rPr>
          <w:rFonts w:ascii="宋体" w:hAnsi="宋体"/>
          <w:sz w:val="24"/>
        </w:rPr>
      </w:pPr>
      <w:r>
        <w:rPr>
          <w:rFonts w:ascii="宋体" w:hAnsi="宋体" w:hint="eastAsia"/>
          <w:sz w:val="24"/>
        </w:rPr>
        <w:t>基金托管人以基金托管人的名义在其营业机构开设资产托管专户，保管基金的银行存款。该账户的开设和管理由基金托管人承担。本基金的一切货币收支活动，均需通过基金托管人的资产托管专户进行。</w:t>
      </w:r>
    </w:p>
    <w:p w:rsidR="00A674F9" w:rsidRDefault="00CD789A">
      <w:pPr>
        <w:spacing w:line="360" w:lineRule="auto"/>
        <w:ind w:firstLineChars="200" w:firstLine="480"/>
        <w:rPr>
          <w:rFonts w:ascii="宋体" w:hAnsi="宋体"/>
          <w:sz w:val="24"/>
        </w:rPr>
      </w:pPr>
      <w:r>
        <w:rPr>
          <w:rFonts w:ascii="宋体" w:hAnsi="宋体" w:hint="eastAsia"/>
          <w:sz w:val="24"/>
        </w:rPr>
        <w:t>资产托管专户的开立和使用，限于满足开展本基金业务的需要。基金托管人和基金管理人不得假借本基金的名义开立其他任何银行账户；亦不得使用基金的任何银行账户进行本基金业务以外的活动。</w:t>
      </w:r>
    </w:p>
    <w:p w:rsidR="00A674F9" w:rsidRDefault="00CD789A">
      <w:pPr>
        <w:spacing w:line="360" w:lineRule="auto"/>
        <w:ind w:firstLineChars="200" w:firstLine="480"/>
        <w:rPr>
          <w:rFonts w:ascii="宋体" w:hAnsi="宋体"/>
          <w:sz w:val="24"/>
        </w:rPr>
      </w:pPr>
      <w:r>
        <w:rPr>
          <w:rFonts w:ascii="宋体" w:hAnsi="宋体" w:hint="eastAsia"/>
          <w:sz w:val="24"/>
        </w:rPr>
        <w:t>资产托管专户的管理应符合</w:t>
      </w:r>
      <w:r>
        <w:rPr>
          <w:rFonts w:ascii="宋体" w:hAnsi="宋体"/>
          <w:sz w:val="24"/>
        </w:rPr>
        <w:t>《人民币银行结算账户管理办法》</w:t>
      </w:r>
      <w:r>
        <w:rPr>
          <w:rFonts w:ascii="宋体" w:hAnsi="宋体" w:hint="eastAsia"/>
          <w:sz w:val="24"/>
        </w:rPr>
        <w:t>、《现金管理暂行条例》、《人民币利率管理规定》、《利率管理暂行规定》、《支付结算办法》以及银行业监督管理机构的其他规定。</w:t>
      </w:r>
    </w:p>
    <w:p w:rsidR="00A674F9" w:rsidRDefault="00CD789A">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（四）基金证券账户与证券交易资金账户的开设和管理</w:t>
      </w:r>
    </w:p>
    <w:p w:rsidR="00A674F9" w:rsidRDefault="00CD789A">
      <w:pPr>
        <w:spacing w:line="360" w:lineRule="auto"/>
        <w:ind w:firstLineChars="200" w:firstLine="480"/>
        <w:rPr>
          <w:rFonts w:ascii="宋体" w:hAnsi="宋体"/>
          <w:sz w:val="24"/>
        </w:rPr>
      </w:pPr>
      <w:r>
        <w:rPr>
          <w:rFonts w:ascii="宋体" w:hAnsi="宋体" w:hint="eastAsia"/>
          <w:sz w:val="24"/>
        </w:rPr>
        <w:t>基金托管人以基金托管人和本基金联名的方式在中国证券登记结算有限责任公司上海分公司</w:t>
      </w:r>
      <w:r>
        <w:rPr>
          <w:rFonts w:ascii="宋体" w:hAnsi="宋体" w:hint="eastAsia"/>
          <w:sz w:val="24"/>
        </w:rPr>
        <w:t>/</w:t>
      </w:r>
      <w:r>
        <w:rPr>
          <w:rFonts w:ascii="宋体" w:hAnsi="宋体" w:hint="eastAsia"/>
          <w:sz w:val="24"/>
        </w:rPr>
        <w:t>深圳分公司开设证券账户。</w:t>
      </w:r>
    </w:p>
    <w:p w:rsidR="00A674F9" w:rsidRDefault="00CD789A">
      <w:pPr>
        <w:spacing w:line="360" w:lineRule="auto"/>
        <w:ind w:firstLineChars="200" w:firstLine="480"/>
        <w:rPr>
          <w:rFonts w:ascii="宋体" w:hAnsi="宋体"/>
          <w:sz w:val="24"/>
        </w:rPr>
      </w:pPr>
      <w:r>
        <w:rPr>
          <w:rFonts w:ascii="宋体" w:hAnsi="宋体" w:hint="eastAsia"/>
          <w:sz w:val="24"/>
        </w:rPr>
        <w:t>基金托管人</w:t>
      </w:r>
      <w:r>
        <w:rPr>
          <w:rFonts w:ascii="宋体" w:hAnsi="宋体"/>
          <w:sz w:val="24"/>
        </w:rPr>
        <w:t>以</w:t>
      </w:r>
      <w:r>
        <w:rPr>
          <w:rFonts w:ascii="宋体" w:hAnsi="宋体" w:hint="eastAsia"/>
          <w:sz w:val="24"/>
        </w:rPr>
        <w:t>基金托管人的名义在中国证券登记结算有限责任公司上海分公司</w:t>
      </w:r>
      <w:r>
        <w:rPr>
          <w:rFonts w:ascii="宋体" w:hAnsi="宋体" w:hint="eastAsia"/>
          <w:sz w:val="24"/>
        </w:rPr>
        <w:t>/</w:t>
      </w:r>
      <w:r>
        <w:rPr>
          <w:rFonts w:ascii="宋体" w:hAnsi="宋体" w:hint="eastAsia"/>
          <w:sz w:val="24"/>
        </w:rPr>
        <w:t>深圳分公司开立基金证券交易资金账户，用于证券清算。</w:t>
      </w:r>
    </w:p>
    <w:p w:rsidR="00A674F9" w:rsidRDefault="00CD789A">
      <w:pPr>
        <w:spacing w:line="360" w:lineRule="auto"/>
        <w:ind w:firstLineChars="200" w:firstLine="480"/>
        <w:rPr>
          <w:rFonts w:ascii="宋体" w:hAnsi="宋体"/>
          <w:sz w:val="24"/>
        </w:rPr>
      </w:pPr>
      <w:r>
        <w:rPr>
          <w:rFonts w:ascii="宋体" w:hAnsi="宋体" w:hint="eastAsia"/>
          <w:sz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A674F9" w:rsidRDefault="00CD789A">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（五）债券托管账户的开立和管理</w:t>
      </w:r>
    </w:p>
    <w:p w:rsidR="00A674F9" w:rsidRDefault="00CD789A">
      <w:pPr>
        <w:spacing w:line="360" w:lineRule="auto"/>
        <w:ind w:firstLineChars="200" w:firstLine="480"/>
        <w:rPr>
          <w:rFonts w:ascii="宋体" w:hAnsi="宋体"/>
          <w:sz w:val="24"/>
        </w:rPr>
      </w:pPr>
      <w:r>
        <w:rPr>
          <w:rFonts w:ascii="宋体" w:hAnsi="宋体" w:hint="eastAsia"/>
          <w:sz w:val="24"/>
        </w:rPr>
        <w:lastRenderedPageBreak/>
        <w:t>1</w:t>
      </w:r>
      <w:r>
        <w:rPr>
          <w:rFonts w:ascii="宋体" w:hAnsi="宋体" w:hint="eastAsia"/>
          <w:sz w:val="24"/>
        </w:rPr>
        <w:t>、《基金合同》生效后，基金管理人负责以基金的名义申请并取得进入全国银行间同业拆借市场的交易资格，并代表基金进行交易；基金托管人负责以基金的名义在中央国债登记结算有限责任公司开设</w:t>
      </w:r>
      <w:r>
        <w:rPr>
          <w:rFonts w:ascii="宋体" w:hAnsi="宋体" w:hint="eastAsia"/>
          <w:sz w:val="24"/>
        </w:rPr>
        <w:t>银行间债券市场债券托管自营账户，并由基金托管人负责基金的债券的后台匹配及资金的清算。</w:t>
      </w:r>
    </w:p>
    <w:p w:rsidR="00A674F9" w:rsidRDefault="00CD789A">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、基金管理人和基金托管人应一起负责为基金对外签订全国银行间债券市场回购主协议，正本由基金托管人保管，基金管理人保存副本。</w:t>
      </w:r>
    </w:p>
    <w:p w:rsidR="00A674F9" w:rsidRDefault="00CD789A">
      <w:pPr>
        <w:spacing w:line="360" w:lineRule="auto"/>
        <w:ind w:firstLineChars="200" w:firstLine="480"/>
        <w:rPr>
          <w:rFonts w:ascii="宋体" w:hAnsi="宋体"/>
          <w:sz w:val="24"/>
        </w:rPr>
      </w:pPr>
      <w:r>
        <w:rPr>
          <w:rFonts w:ascii="宋体" w:hAnsi="宋体" w:hint="eastAsia"/>
          <w:sz w:val="24"/>
        </w:rPr>
        <w:t>（六）其他账户的开设和管理</w:t>
      </w:r>
    </w:p>
    <w:p w:rsidR="00A674F9" w:rsidRDefault="00CD789A">
      <w:pPr>
        <w:spacing w:line="360" w:lineRule="auto"/>
        <w:ind w:firstLineChars="200" w:firstLine="480"/>
        <w:rPr>
          <w:rFonts w:ascii="宋体" w:hAnsi="宋体"/>
          <w:sz w:val="24"/>
        </w:rPr>
      </w:pPr>
      <w:r>
        <w:rPr>
          <w:rFonts w:ascii="宋体" w:hAnsi="宋体"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A674F9" w:rsidRDefault="00CD789A">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（七）基金财产投资的有关实物证券</w:t>
      </w:r>
      <w:r>
        <w:rPr>
          <w:rFonts w:ascii="宋体" w:eastAsia="宋体" w:hAnsi="宋体" w:hint="eastAsia"/>
          <w:b w:val="0"/>
          <w:bCs w:val="0"/>
          <w:sz w:val="24"/>
          <w:szCs w:val="24"/>
        </w:rPr>
        <w:t>、银行定期存款存单等有价凭证的保管</w:t>
      </w:r>
    </w:p>
    <w:p w:rsidR="00A674F9" w:rsidRDefault="00CD789A">
      <w:pPr>
        <w:spacing w:line="360" w:lineRule="auto"/>
        <w:ind w:firstLineChars="200" w:firstLine="480"/>
        <w:rPr>
          <w:rFonts w:ascii="宋体" w:hAnsi="宋体"/>
          <w:sz w:val="24"/>
        </w:rPr>
      </w:pPr>
      <w:r>
        <w:rPr>
          <w:rFonts w:ascii="宋体" w:hAnsi="宋体" w:hint="eastAsia"/>
          <w:sz w:val="24"/>
        </w:rPr>
        <w:t>基金财产投资的有关实物证券由基金托管人存放于基金托管人的保管库；其中实物证券也可存入中央国债登记结算有限责任公司或中国证券登记结算有限责任公司上海分公司</w:t>
      </w:r>
      <w:r>
        <w:rPr>
          <w:rFonts w:ascii="宋体" w:hAnsi="宋体" w:hint="eastAsia"/>
          <w:sz w:val="24"/>
        </w:rPr>
        <w:t>/</w:t>
      </w:r>
      <w:r>
        <w:rPr>
          <w:rFonts w:ascii="宋体" w:hAnsi="宋体" w:hint="eastAsia"/>
          <w:sz w:val="24"/>
        </w:rPr>
        <w:t>深圳分公司、银行间市场清算所股份有限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w:t>
      </w:r>
    </w:p>
    <w:p w:rsidR="00A674F9" w:rsidRDefault="00CD789A">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65" w:name="_Toc37159180"/>
      <w:r>
        <w:rPr>
          <w:rFonts w:ascii="宋体" w:eastAsia="宋体" w:hAnsi="宋体" w:hint="eastAsia"/>
          <w:b w:val="0"/>
          <w:bCs w:val="0"/>
          <w:sz w:val="24"/>
          <w:szCs w:val="24"/>
        </w:rPr>
        <w:t>（八）与基金财产有</w:t>
      </w:r>
      <w:r>
        <w:rPr>
          <w:rFonts w:ascii="宋体" w:eastAsia="宋体" w:hAnsi="宋体" w:hint="eastAsia"/>
          <w:b w:val="0"/>
          <w:bCs w:val="0"/>
          <w:sz w:val="24"/>
          <w:szCs w:val="24"/>
        </w:rPr>
        <w:t>关的重大合同的保管</w:t>
      </w:r>
      <w:bookmarkEnd w:id="65"/>
    </w:p>
    <w:p w:rsidR="00A674F9" w:rsidRDefault="00CD789A">
      <w:pPr>
        <w:spacing w:line="360" w:lineRule="auto"/>
        <w:ind w:firstLineChars="200" w:firstLine="480"/>
        <w:rPr>
          <w:rFonts w:ascii="宋体" w:hAnsi="宋体"/>
          <w:sz w:val="24"/>
        </w:rPr>
      </w:pPr>
      <w:r>
        <w:rPr>
          <w:rFonts w:ascii="宋体" w:hAnsi="宋体" w:hint="eastAsia"/>
          <w:sz w:val="24"/>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w:t>
      </w:r>
      <w:r>
        <w:rPr>
          <w:rFonts w:ascii="宋体" w:hAnsi="宋体" w:hint="eastAsia"/>
          <w:sz w:val="24"/>
        </w:rPr>
        <w:t>5</w:t>
      </w:r>
      <w:r>
        <w:rPr>
          <w:rFonts w:ascii="宋体" w:hAnsi="宋体" w:hint="eastAsia"/>
          <w:sz w:val="24"/>
        </w:rPr>
        <w:t>个工作日内通过专人送达、挂号邮寄等安全方式将合同原件送达基金托管人处。合同原件应存放于基金管理人和基金托管人各自文件保管部门</w:t>
      </w:r>
      <w:r>
        <w:rPr>
          <w:rFonts w:ascii="宋体" w:hAnsi="宋体" w:hint="eastAsia"/>
          <w:sz w:val="24"/>
        </w:rPr>
        <w:t>15</w:t>
      </w:r>
      <w:r>
        <w:rPr>
          <w:rFonts w:ascii="宋体" w:hAnsi="宋体" w:hint="eastAsia"/>
          <w:sz w:val="24"/>
        </w:rPr>
        <w:t>年以上。</w:t>
      </w:r>
    </w:p>
    <w:p w:rsidR="00A674F9" w:rsidRDefault="00CD789A">
      <w:pPr>
        <w:spacing w:line="360" w:lineRule="auto"/>
        <w:ind w:firstLineChars="200" w:firstLine="480"/>
        <w:rPr>
          <w:rFonts w:ascii="宋体" w:hAnsi="宋体"/>
          <w:sz w:val="24"/>
        </w:rPr>
      </w:pPr>
      <w:r>
        <w:rPr>
          <w:rFonts w:ascii="宋体" w:hAnsi="宋体" w:hint="eastAsia"/>
          <w:sz w:val="24"/>
        </w:rPr>
        <w:t>对于无法取得二份以上的正本的，基金管理人应向基金托管人提供加盖授权业务章的合同传真件，未经</w:t>
      </w:r>
      <w:r>
        <w:rPr>
          <w:rFonts w:ascii="宋体" w:hAnsi="宋体" w:hint="eastAsia"/>
          <w:sz w:val="24"/>
        </w:rPr>
        <w:t>双方协商或未在合同约定范围内，合同原件不得转移。</w:t>
      </w:r>
    </w:p>
    <w:p w:rsidR="00A674F9" w:rsidRDefault="00CD789A">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66" w:name="_Toc125361078"/>
      <w:bookmarkStart w:id="67" w:name="_Toc123626172"/>
      <w:bookmarkStart w:id="68" w:name="_Toc124749941"/>
      <w:bookmarkStart w:id="69" w:name="_Toc124749230"/>
      <w:bookmarkStart w:id="70" w:name="_Toc140002341"/>
      <w:r>
        <w:rPr>
          <w:rFonts w:ascii="宋体" w:hAnsi="宋体" w:cs="Arial" w:hint="eastAsia"/>
          <w:sz w:val="30"/>
        </w:rPr>
        <w:lastRenderedPageBreak/>
        <w:t>指令的发送、确认和执行</w:t>
      </w:r>
      <w:bookmarkEnd w:id="4"/>
      <w:bookmarkEnd w:id="5"/>
      <w:bookmarkEnd w:id="6"/>
      <w:bookmarkEnd w:id="66"/>
      <w:bookmarkEnd w:id="67"/>
      <w:bookmarkEnd w:id="68"/>
      <w:bookmarkEnd w:id="69"/>
      <w:bookmarkEnd w:id="70"/>
    </w:p>
    <w:p w:rsidR="00A674F9" w:rsidRDefault="00CD789A">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71" w:name="_Toc48703899"/>
      <w:r>
        <w:rPr>
          <w:rFonts w:ascii="宋体" w:eastAsia="宋体" w:hAnsi="宋体" w:hint="eastAsia"/>
          <w:b w:val="0"/>
          <w:bCs w:val="0"/>
          <w:sz w:val="24"/>
          <w:szCs w:val="24"/>
        </w:rPr>
        <w:t>（一）基金管理人对发送指令人员的书面授权</w:t>
      </w:r>
    </w:p>
    <w:p w:rsidR="00A674F9" w:rsidRDefault="00CD789A">
      <w:pPr>
        <w:pStyle w:val="20"/>
        <w:spacing w:after="0"/>
        <w:rPr>
          <w:color w:val="auto"/>
        </w:rPr>
      </w:pPr>
      <w:r>
        <w:rPr>
          <w:rFonts w:hint="eastAsia"/>
          <w:color w:val="auto"/>
        </w:rPr>
        <w:t>基金管理人应向基金托管人提供预留印鉴和被授权人签字样本，事先书面通知（以下称“授权通知”）基金托管人有权发送指令的人员名单，注明相应的交易权限，并规定基金管理人向基金托管人发送指令时基金托管人确认有权发送人员身份的方法。基金托管人在收到授权通知当日回函向基金管理人确认。基金管理人和基金托管人对授权文件负有保密义务，其内容不得向授权人及相关操作人员以外的任何人泄露。</w:t>
      </w:r>
    </w:p>
    <w:p w:rsidR="00A674F9" w:rsidRDefault="00CD789A">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（二）指令的内容</w:t>
      </w:r>
    </w:p>
    <w:p w:rsidR="00A674F9" w:rsidRDefault="00CD789A">
      <w:pPr>
        <w:spacing w:line="360" w:lineRule="auto"/>
        <w:ind w:firstLineChars="200" w:firstLine="480"/>
        <w:rPr>
          <w:rFonts w:ascii="宋体" w:hAnsi="宋体"/>
          <w:sz w:val="24"/>
        </w:rPr>
      </w:pPr>
      <w:r>
        <w:rPr>
          <w:rFonts w:ascii="宋体" w:hAnsi="宋体" w:hint="eastAsia"/>
          <w:sz w:val="24"/>
          <w:szCs w:val="21"/>
        </w:rPr>
        <w:t>指令是基金管理人在运用基金资产时，向基金托管人发出的资金划拨及其他款项支付的指令。</w:t>
      </w:r>
      <w:r>
        <w:rPr>
          <w:rFonts w:ascii="宋体" w:hAnsi="宋体" w:hint="eastAsia"/>
          <w:sz w:val="24"/>
        </w:rPr>
        <w:t>基金管理人发送给基金托管人的纸质指令应写明款项事由、支付时间、到账时间、金额、账户等，加盖预留印鉴并有被授权人签字，对电子直连划款指令或者网银形式发送的指令应包括但不限于款项事由、支付时间、金额、账户等，基金托管人以收到电子指令为合规有效指令。</w:t>
      </w:r>
    </w:p>
    <w:p w:rsidR="00A674F9" w:rsidRDefault="00CD789A">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（三）指令的发送、确认和执行的时间和程序</w:t>
      </w:r>
    </w:p>
    <w:p w:rsidR="00A674F9" w:rsidRDefault="00CD789A">
      <w:pPr>
        <w:spacing w:after="120" w:line="360" w:lineRule="auto"/>
        <w:ind w:firstLineChars="200" w:firstLine="480"/>
        <w:rPr>
          <w:rFonts w:ascii="宋体" w:hAnsi="宋体"/>
          <w:sz w:val="24"/>
        </w:rPr>
      </w:pPr>
      <w:r>
        <w:rPr>
          <w:rFonts w:ascii="宋体" w:hAnsi="宋体" w:hint="eastAsia"/>
          <w:sz w:val="24"/>
        </w:rPr>
        <w:t>指令由“授权通知”确定的有权发送人（下称“被授权人”）代表基金管理人用电子直连划款指令或者网银指令等双方约定的方式向基金托管人发送，并以传真作为应急方式备用。基金管理人有义务在发送指令后及时与托管人进行确认，因管理人未能及时与托管人进行指令确认</w:t>
      </w:r>
      <w:r>
        <w:rPr>
          <w:rFonts w:ascii="宋体" w:hAnsi="宋体" w:hint="eastAsia"/>
          <w:sz w:val="24"/>
        </w:rPr>
        <w:t>,</w:t>
      </w:r>
      <w:r>
        <w:rPr>
          <w:rFonts w:ascii="宋体" w:hAnsi="宋体" w:hint="eastAsia"/>
          <w:sz w:val="24"/>
        </w:rPr>
        <w:t>致使资金未能及时到账所造成的损失不由基金托管人承担。基金托管人依照本托管协议及“授权通知”约定的方法确认指令有效后，方可执行指令。对于被授权人发出的指令，基金管理人不得否认其效力。基金管理人应按照《基金法》、有关法律法规和《基金合同》的规定，在其合法的经营权限和交易</w:t>
      </w:r>
      <w:r>
        <w:rPr>
          <w:rFonts w:ascii="宋体" w:hAnsi="宋体" w:hint="eastAsia"/>
          <w:sz w:val="24"/>
        </w:rPr>
        <w:t>权限内发送划款指令，发送人应按照其授权权限发送划款指令。基金管理人在发送指令时，应为基金托管人留出执行指令所必需的时间。发送指令日完成划款的指令，基金管理人应给基金托管人预留出距划款截至时点</w:t>
      </w:r>
      <w:r>
        <w:rPr>
          <w:rFonts w:ascii="宋体" w:hAnsi="宋体" w:hint="eastAsia"/>
          <w:sz w:val="24"/>
        </w:rPr>
        <w:t>2</w:t>
      </w:r>
      <w:r>
        <w:rPr>
          <w:rFonts w:ascii="宋体" w:hAnsi="宋体" w:hint="eastAsia"/>
          <w:sz w:val="24"/>
        </w:rPr>
        <w:t>小时的指令执行时间。由基金管理人原因造成的指令传输不及时、未能留出足够划款所需时间，致使资金未能及时到账所造成的损失由基金管理人承担。</w:t>
      </w:r>
    </w:p>
    <w:p w:rsidR="00A674F9" w:rsidRDefault="00CD789A">
      <w:pPr>
        <w:spacing w:line="360" w:lineRule="auto"/>
        <w:ind w:firstLineChars="200" w:firstLine="480"/>
        <w:rPr>
          <w:rFonts w:ascii="宋体" w:hAnsi="宋体"/>
          <w:sz w:val="24"/>
        </w:rPr>
      </w:pPr>
      <w:r>
        <w:rPr>
          <w:rFonts w:ascii="宋体" w:hAnsi="宋体" w:hint="eastAsia"/>
          <w:sz w:val="24"/>
        </w:rPr>
        <w:t>基金托管人收到基金管理人发送的指令后，应审慎验证有关指令内容要素，</w:t>
      </w:r>
      <w:r>
        <w:rPr>
          <w:rFonts w:ascii="宋体" w:hAnsi="宋体" w:hint="eastAsia"/>
          <w:sz w:val="24"/>
        </w:rPr>
        <w:lastRenderedPageBreak/>
        <w:t>复核无误后应在规定期限内执行，不得延误。指令执行完毕后，基金托管人应将执行完毕的指令盖章回传给基金管理人。</w:t>
      </w:r>
    </w:p>
    <w:p w:rsidR="00A674F9" w:rsidRDefault="00CD789A">
      <w:pPr>
        <w:spacing w:line="360" w:lineRule="auto"/>
        <w:ind w:firstLineChars="200" w:firstLine="480"/>
        <w:rPr>
          <w:rFonts w:ascii="宋体" w:hAnsi="宋体"/>
          <w:sz w:val="24"/>
        </w:rPr>
      </w:pPr>
      <w:r>
        <w:rPr>
          <w:rFonts w:ascii="宋体" w:hAnsi="宋体" w:hint="eastAsia"/>
          <w:sz w:val="24"/>
        </w:rPr>
        <w:t>基金管理人</w:t>
      </w:r>
      <w:r>
        <w:rPr>
          <w:rFonts w:ascii="宋体" w:hAnsi="宋体" w:hint="eastAsia"/>
          <w:sz w:val="24"/>
        </w:rPr>
        <w:t>向基金托管人下达指令时，应确保基金银行账户有足够的资金余额，对基金管理人在没有充足资金的情况下向基金托管人发出的指令，基金托管人可不予执行，并立即通知基金管理人，基金托管人不承担因为不执行该指令而造成损失的责任。</w:t>
      </w:r>
    </w:p>
    <w:p w:rsidR="00A674F9" w:rsidRDefault="00CD789A">
      <w:pPr>
        <w:spacing w:line="360" w:lineRule="auto"/>
        <w:ind w:firstLineChars="200" w:firstLine="480"/>
        <w:rPr>
          <w:rFonts w:ascii="宋体" w:hAnsi="宋体"/>
          <w:sz w:val="24"/>
        </w:rPr>
      </w:pPr>
      <w:r>
        <w:rPr>
          <w:rFonts w:ascii="宋体" w:hAnsi="宋体" w:hint="eastAsia"/>
          <w:sz w:val="24"/>
        </w:rPr>
        <w:t>基金管理人应将同业市场国债交易通知单加盖印章后传真给基金托管人。</w:t>
      </w:r>
    </w:p>
    <w:p w:rsidR="00A674F9" w:rsidRDefault="00CD789A">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（四）基金管理人发送错误指令的情形和处理程序</w:t>
      </w:r>
    </w:p>
    <w:p w:rsidR="00A674F9" w:rsidRDefault="00CD789A">
      <w:pPr>
        <w:spacing w:after="120" w:line="360" w:lineRule="auto"/>
        <w:ind w:firstLineChars="200" w:firstLine="480"/>
        <w:rPr>
          <w:rFonts w:ascii="宋体" w:hAnsi="宋体"/>
          <w:sz w:val="24"/>
        </w:rPr>
      </w:pPr>
      <w:r>
        <w:rPr>
          <w:rFonts w:ascii="宋体" w:hAnsi="宋体" w:hint="eastAsia"/>
          <w:sz w:val="24"/>
        </w:rPr>
        <w:t>基金管理人发送错误指令的情形包括指令发送人员无权或超越权限发送指令及交割信息错误，指令中重要信息不完整等。</w:t>
      </w:r>
    </w:p>
    <w:p w:rsidR="00A674F9" w:rsidRDefault="00CD789A">
      <w:pPr>
        <w:spacing w:line="360" w:lineRule="auto"/>
        <w:ind w:firstLineChars="200" w:firstLine="480"/>
        <w:rPr>
          <w:rFonts w:ascii="宋体" w:hAnsi="宋体"/>
          <w:sz w:val="24"/>
        </w:rPr>
      </w:pPr>
      <w:r>
        <w:rPr>
          <w:rFonts w:ascii="宋体" w:hAnsi="宋体" w:hint="eastAsia"/>
          <w:sz w:val="24"/>
        </w:rPr>
        <w:t>基金托管人在履行监督职能时，发现基金管理人的指令错误时，有权拒绝执行，并及时通</w:t>
      </w:r>
      <w:r>
        <w:rPr>
          <w:rFonts w:ascii="宋体" w:hAnsi="宋体" w:hint="eastAsia"/>
          <w:sz w:val="24"/>
        </w:rPr>
        <w:t>知基金管理人改正。</w:t>
      </w:r>
    </w:p>
    <w:p w:rsidR="00A674F9" w:rsidRDefault="00CD789A">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（五）基金托管人依照法律法规暂缓、拒绝执行指令的情形和处理程序</w:t>
      </w:r>
    </w:p>
    <w:p w:rsidR="00A674F9" w:rsidRDefault="00CD789A">
      <w:pPr>
        <w:spacing w:line="360" w:lineRule="auto"/>
        <w:ind w:firstLineChars="200" w:firstLine="480"/>
        <w:rPr>
          <w:rFonts w:ascii="宋体" w:hAnsi="宋体"/>
          <w:sz w:val="24"/>
        </w:rPr>
      </w:pPr>
      <w:r>
        <w:rPr>
          <w:rFonts w:ascii="宋体" w:hAnsi="宋体" w:hint="eastAsia"/>
          <w:sz w:val="24"/>
        </w:rPr>
        <w:t>基金托管人发现基金管理人发送的指令违反《基金法》、《基金合同》、本协议或有关基金法规的有关规定，应当视情况暂缓或不予执行，并应及时以书面形式通知基金管理人纠正，基金管理人收到通知后应及时核对，并以书面形式对基金托管人发出回函确认，由此造成的损失由基金管理人承担。</w:t>
      </w:r>
    </w:p>
    <w:p w:rsidR="00A674F9" w:rsidRDefault="00CD789A">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（六）基金托管人未按照基金管理人指令执行的处理方法</w:t>
      </w:r>
    </w:p>
    <w:p w:rsidR="00A674F9" w:rsidRDefault="00CD789A">
      <w:pPr>
        <w:spacing w:line="360" w:lineRule="auto"/>
        <w:ind w:firstLineChars="200" w:firstLine="480"/>
        <w:rPr>
          <w:rFonts w:ascii="宋体" w:hAnsi="宋体"/>
          <w:sz w:val="24"/>
        </w:rPr>
      </w:pPr>
      <w:r>
        <w:rPr>
          <w:rFonts w:ascii="宋体" w:hAnsi="宋体" w:hint="eastAsia"/>
          <w:sz w:val="24"/>
        </w:rPr>
        <w:t>基金托管人由于自身原因造成未按照或者未及时按照基金管理人发送的正常有效指令执行，给基金份额持有人造成损失的，应负</w:t>
      </w:r>
      <w:r>
        <w:rPr>
          <w:rFonts w:ascii="宋体" w:hAnsi="宋体" w:hint="eastAsia"/>
          <w:sz w:val="24"/>
        </w:rPr>
        <w:t>赔偿责任。</w:t>
      </w:r>
    </w:p>
    <w:p w:rsidR="00A674F9" w:rsidRDefault="00CD789A">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（七）更换被授权人的程序</w:t>
      </w:r>
    </w:p>
    <w:p w:rsidR="00A674F9" w:rsidRDefault="00CD789A">
      <w:pPr>
        <w:spacing w:line="360" w:lineRule="auto"/>
        <w:ind w:firstLineChars="200" w:firstLine="480"/>
        <w:rPr>
          <w:rFonts w:ascii="宋体" w:hAnsi="宋体"/>
          <w:sz w:val="24"/>
        </w:rPr>
      </w:pPr>
      <w:r>
        <w:rPr>
          <w:rFonts w:ascii="宋体" w:hAnsi="宋体" w:hint="eastAsia"/>
          <w:sz w:val="24"/>
        </w:rPr>
        <w:t>基金管理人撤换被授权人员或改变被授权人员的权限，必须提前至少一个交易日，使用传真或其他基金托管人和基金管理人书面确认过的方式向基金托管人发出由授权人签字和盖章的被授权人变更通知，同时电话通知基金托管人。变更通知应载明生效时间，并提供新的被授权人的签字样本。基金托管人收到变更通知当日将回函书面传真基金管理人或通过电话向基金管理人确认。授权变更于变更通知载明的生效时间生效。若变更通知载明的生效时间早于基金托管人收到变更通知时间，则授权变更于基金托管人收到变更通知时生效。基金</w:t>
      </w:r>
      <w:r>
        <w:rPr>
          <w:rFonts w:ascii="宋体" w:hAnsi="宋体" w:hint="eastAsia"/>
          <w:sz w:val="24"/>
        </w:rPr>
        <w:t>管理人在此后三日内将被授权人变更通知的正本送交基金托管人，正本与之前发送的变更通知</w:t>
      </w:r>
      <w:r>
        <w:rPr>
          <w:rFonts w:ascii="宋体" w:hAnsi="宋体" w:hint="eastAsia"/>
          <w:sz w:val="24"/>
        </w:rPr>
        <w:lastRenderedPageBreak/>
        <w:t>不一致的，基金托管人不承担责任。基金管理人更换被授权人通知生效后，对于已被撤换的人员无权发送的指令，或被改变授权人员超权限发送的指令，基金管理人不承担责任</w:t>
      </w:r>
      <w:bookmarkEnd w:id="71"/>
      <w:r>
        <w:rPr>
          <w:rFonts w:ascii="宋体" w:hAnsi="宋体" w:hint="eastAsia"/>
          <w:sz w:val="24"/>
        </w:rPr>
        <w:t>。</w:t>
      </w:r>
    </w:p>
    <w:p w:rsidR="00A674F9" w:rsidRDefault="00CD789A">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72" w:name="_Toc140002342"/>
      <w:bookmarkStart w:id="73" w:name="_Toc48703903"/>
      <w:bookmarkStart w:id="74" w:name="_Toc124749231"/>
      <w:bookmarkStart w:id="75" w:name="_Toc523829997"/>
      <w:bookmarkStart w:id="76" w:name="_Toc125361079"/>
      <w:bookmarkStart w:id="77" w:name="_Toc22454451"/>
      <w:bookmarkStart w:id="78" w:name="_Toc124749942"/>
      <w:bookmarkStart w:id="79" w:name="_Toc123626173"/>
      <w:bookmarkStart w:id="80" w:name="_Toc466788856"/>
      <w:r>
        <w:rPr>
          <w:rFonts w:ascii="宋体" w:hAnsi="宋体" w:cs="Arial" w:hint="eastAsia"/>
          <w:sz w:val="30"/>
        </w:rPr>
        <w:t>交易及清算交收安排</w:t>
      </w:r>
      <w:bookmarkEnd w:id="72"/>
      <w:bookmarkEnd w:id="73"/>
      <w:bookmarkEnd w:id="74"/>
      <w:bookmarkEnd w:id="75"/>
      <w:bookmarkEnd w:id="76"/>
      <w:bookmarkEnd w:id="77"/>
      <w:bookmarkEnd w:id="78"/>
      <w:bookmarkEnd w:id="79"/>
      <w:bookmarkEnd w:id="80"/>
    </w:p>
    <w:p w:rsidR="00A674F9" w:rsidRDefault="00CD789A">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81" w:name="_Toc48703904"/>
      <w:bookmarkStart w:id="82" w:name="_Toc22454452"/>
      <w:r>
        <w:rPr>
          <w:rFonts w:ascii="宋体" w:eastAsia="宋体" w:hAnsi="宋体" w:hint="eastAsia"/>
          <w:b w:val="0"/>
          <w:bCs w:val="0"/>
          <w:sz w:val="24"/>
          <w:szCs w:val="24"/>
        </w:rPr>
        <w:t>（一）选择代理证券买卖的证券经营机构的标准和程序</w:t>
      </w:r>
      <w:bookmarkEnd w:id="81"/>
      <w:bookmarkEnd w:id="82"/>
    </w:p>
    <w:p w:rsidR="00A674F9" w:rsidRDefault="00CD789A">
      <w:pPr>
        <w:spacing w:line="360" w:lineRule="auto"/>
        <w:ind w:firstLineChars="200" w:firstLine="480"/>
        <w:rPr>
          <w:rFonts w:ascii="宋体" w:hAnsi="宋体"/>
          <w:sz w:val="24"/>
        </w:rPr>
      </w:pPr>
      <w:r>
        <w:rPr>
          <w:rFonts w:ascii="宋体" w:hAnsi="宋体" w:hint="eastAsia"/>
          <w:sz w:val="24"/>
        </w:rPr>
        <w:t>基金管理人负责选择代理本基金证券买卖的证券经营机构。选择的标准是：</w:t>
      </w:r>
    </w:p>
    <w:p w:rsidR="00A674F9" w:rsidRDefault="00CD789A">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、资历雄厚，信誉良好。</w:t>
      </w:r>
    </w:p>
    <w:p w:rsidR="00A674F9" w:rsidRDefault="00CD789A">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、财务状况良好，经营行为规范，最近一年未发生重大违规行为而受到有关管理机关的处罚。</w:t>
      </w:r>
    </w:p>
    <w:p w:rsidR="00A674F9" w:rsidRDefault="00CD789A">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、内部管理规范、严格</w:t>
      </w:r>
      <w:r>
        <w:rPr>
          <w:rFonts w:ascii="宋体" w:hAnsi="宋体" w:hint="eastAsia"/>
          <w:sz w:val="24"/>
        </w:rPr>
        <w:t>，具备健全的内控制度，并能满足基金运作高度保密的要求。</w:t>
      </w:r>
    </w:p>
    <w:p w:rsidR="00A674F9" w:rsidRDefault="00CD789A">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、具备基金运作所需的高效、安全的通讯条件，交易设施符合代理本基金进行证券交易的需要，并能为本基金提供全面的信息服务。</w:t>
      </w:r>
    </w:p>
    <w:p w:rsidR="00A674F9" w:rsidRDefault="00CD789A">
      <w:pPr>
        <w:spacing w:line="360" w:lineRule="auto"/>
        <w:ind w:firstLineChars="200" w:firstLine="480"/>
        <w:rPr>
          <w:rFonts w:ascii="宋体" w:hAnsi="宋体"/>
          <w:sz w:val="24"/>
        </w:rPr>
      </w:pPr>
      <w:r>
        <w:rPr>
          <w:rFonts w:ascii="宋体" w:hAnsi="宋体" w:hint="eastAsia"/>
          <w:sz w:val="24"/>
        </w:rPr>
        <w:t>5</w:t>
      </w:r>
      <w:r>
        <w:rPr>
          <w:rFonts w:ascii="宋体" w:hAnsi="宋体" w:hint="eastAsia"/>
          <w:sz w:val="24"/>
        </w:rPr>
        <w:t>、研究实力较强，有固定的研究机构和专门研究人员，能及时、定期、全面地为本基金提供宏观经济、行业情况、市场走向、个券分析的研究报告及周到的信息服务，并能根据基金投资的特定要求，提供专题研究报告。</w:t>
      </w:r>
    </w:p>
    <w:p w:rsidR="00A674F9" w:rsidRDefault="00CD789A">
      <w:pPr>
        <w:spacing w:line="360" w:lineRule="auto"/>
        <w:ind w:firstLineChars="200" w:firstLine="480"/>
        <w:rPr>
          <w:rFonts w:ascii="宋体" w:hAnsi="宋体"/>
          <w:sz w:val="24"/>
        </w:rPr>
      </w:pPr>
      <w:r>
        <w:rPr>
          <w:rFonts w:ascii="宋体" w:hAnsi="宋体" w:hint="eastAsia"/>
          <w:sz w:val="24"/>
        </w:rPr>
        <w:t>基金管理人负责根据以上标准以及内部管理制度对有关证券经营机构进行考察后确定代理本基金证券买卖证券经营机构，并承担相应责任。基金管理人和被选择的证券经营机构签订席位使用协议，由基金管理人通知基金托管人，并在法定信息披露公告中披露有关内容。</w:t>
      </w:r>
    </w:p>
    <w:p w:rsidR="00A674F9" w:rsidRDefault="00CD789A">
      <w:pPr>
        <w:spacing w:line="360" w:lineRule="auto"/>
        <w:ind w:firstLineChars="200" w:firstLine="480"/>
        <w:rPr>
          <w:rFonts w:ascii="宋体" w:hAnsi="宋体"/>
          <w:sz w:val="24"/>
        </w:rPr>
      </w:pPr>
      <w:r>
        <w:rPr>
          <w:rFonts w:ascii="宋体" w:hAnsi="宋体" w:hint="eastAsia"/>
          <w:sz w:val="24"/>
        </w:rPr>
        <w:t>基金管理人应及时将基金专用席位号、佣金费率等基本信息以及变更情况及时以书面形式通知基金托管人。</w:t>
      </w:r>
    </w:p>
    <w:p w:rsidR="00A674F9" w:rsidRDefault="00CD789A">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83" w:name="_Toc48703905"/>
      <w:r>
        <w:rPr>
          <w:rFonts w:ascii="宋体" w:eastAsia="宋体" w:hAnsi="宋体" w:hint="eastAsia"/>
          <w:b w:val="0"/>
          <w:bCs w:val="0"/>
          <w:sz w:val="24"/>
          <w:szCs w:val="24"/>
        </w:rPr>
        <w:t>（二）基金投资证券后的清算</w:t>
      </w:r>
      <w:bookmarkEnd w:id="83"/>
      <w:r>
        <w:rPr>
          <w:rFonts w:ascii="宋体" w:eastAsia="宋体" w:hAnsi="宋体" w:hint="eastAsia"/>
          <w:b w:val="0"/>
          <w:bCs w:val="0"/>
          <w:sz w:val="24"/>
          <w:szCs w:val="24"/>
        </w:rPr>
        <w:t>交收安排</w:t>
      </w:r>
    </w:p>
    <w:p w:rsidR="00A674F9" w:rsidRDefault="00CD789A">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、基金管理人和基金托管人在基金清算和交收中的责任</w:t>
      </w:r>
    </w:p>
    <w:p w:rsidR="00A674F9" w:rsidRDefault="00CD789A">
      <w:pPr>
        <w:spacing w:line="360" w:lineRule="auto"/>
        <w:ind w:firstLineChars="200" w:firstLine="480"/>
        <w:rPr>
          <w:rFonts w:ascii="宋体" w:hAnsi="宋体"/>
          <w:sz w:val="24"/>
        </w:rPr>
      </w:pPr>
      <w:r>
        <w:rPr>
          <w:rFonts w:ascii="宋体" w:hAnsi="宋体" w:hint="eastAsia"/>
          <w:sz w:val="24"/>
        </w:rPr>
        <w:t>基金管理人与基金托管人应根据有关法律法规及相关业务规则，签订《证券交易资金结算协议》，用以</w:t>
      </w:r>
      <w:r>
        <w:rPr>
          <w:rFonts w:ascii="宋体" w:hAnsi="宋体" w:hint="eastAsia"/>
          <w:sz w:val="24"/>
        </w:rPr>
        <w:t>具体明确基金管理人与基金托管人在证券交易资金结算业务中的责任。</w:t>
      </w:r>
    </w:p>
    <w:p w:rsidR="00A674F9" w:rsidRDefault="00CD789A">
      <w:pPr>
        <w:spacing w:line="360" w:lineRule="auto"/>
        <w:ind w:firstLineChars="200" w:firstLine="480"/>
        <w:rPr>
          <w:rFonts w:ascii="宋体" w:hAnsi="宋体"/>
          <w:sz w:val="24"/>
        </w:rPr>
      </w:pPr>
      <w:r>
        <w:rPr>
          <w:rFonts w:ascii="宋体" w:hAnsi="宋体" w:hint="eastAsia"/>
          <w:sz w:val="24"/>
        </w:rPr>
        <w:t>对基金管理人的资金划拨指令，基金托管人在复核无误后应在规定期限内执</w:t>
      </w:r>
      <w:r>
        <w:rPr>
          <w:rFonts w:ascii="宋体" w:hAnsi="宋体" w:hint="eastAsia"/>
          <w:sz w:val="24"/>
        </w:rPr>
        <w:lastRenderedPageBreak/>
        <w:t>行并在执行完毕后回函确认，不得延误。</w:t>
      </w:r>
    </w:p>
    <w:p w:rsidR="00A674F9" w:rsidRDefault="00CD789A">
      <w:pPr>
        <w:spacing w:line="360" w:lineRule="auto"/>
        <w:ind w:firstLineChars="200" w:firstLine="480"/>
        <w:rPr>
          <w:rFonts w:ascii="宋体" w:hAnsi="宋体"/>
          <w:sz w:val="24"/>
        </w:rPr>
      </w:pPr>
      <w:r>
        <w:rPr>
          <w:rFonts w:ascii="宋体" w:hAnsi="宋体" w:hint="eastAsia"/>
          <w:sz w:val="24"/>
        </w:rPr>
        <w:t>本基金投资于证券发生的所有场内、场外交易的资金清算交割，全部由基金托管人负责办理。</w:t>
      </w:r>
    </w:p>
    <w:p w:rsidR="00A674F9" w:rsidRDefault="00CD789A">
      <w:pPr>
        <w:spacing w:line="360" w:lineRule="auto"/>
        <w:ind w:firstLineChars="200" w:firstLine="480"/>
        <w:rPr>
          <w:rFonts w:ascii="宋体" w:hAnsi="宋体"/>
          <w:sz w:val="24"/>
        </w:rPr>
      </w:pPr>
      <w:r>
        <w:rPr>
          <w:rFonts w:ascii="宋体" w:hAnsi="宋体" w:hint="eastAsia"/>
          <w:sz w:val="24"/>
        </w:rPr>
        <w:t>本基金证券投资的清算交割，由基金托管人通过中国证券登记结算有限责任公司上海分公司</w:t>
      </w:r>
      <w:r>
        <w:rPr>
          <w:rFonts w:ascii="宋体" w:hAnsi="宋体" w:hint="eastAsia"/>
          <w:sz w:val="24"/>
        </w:rPr>
        <w:t>/</w:t>
      </w:r>
      <w:r>
        <w:rPr>
          <w:rFonts w:ascii="宋体" w:hAnsi="宋体" w:hint="eastAsia"/>
          <w:sz w:val="24"/>
        </w:rPr>
        <w:t>深圳分公司、其他相关登记结算机构及清算代理银行办理。</w:t>
      </w:r>
    </w:p>
    <w:p w:rsidR="00A674F9" w:rsidRDefault="00CD789A">
      <w:pPr>
        <w:spacing w:line="360" w:lineRule="auto"/>
        <w:ind w:firstLineChars="200" w:firstLine="480"/>
        <w:rPr>
          <w:rFonts w:ascii="宋体" w:hAnsi="宋体"/>
          <w:sz w:val="24"/>
        </w:rPr>
      </w:pPr>
      <w:r>
        <w:rPr>
          <w:rFonts w:ascii="宋体" w:hAnsi="宋体" w:hint="eastAsia"/>
          <w:sz w:val="24"/>
        </w:rPr>
        <w:t>如果因基金托管人原因在清算和交收中造成基金财产的损失，应由基金托管人负责赔偿基金的损失；如果因为基金管理人违反法律法规的规定进行证券投资或违反双方签订的《证券交易资金结算协议》而造成基金投资清算困难和风险的，托管人发现后应立即通知基金管理人，由基金管理人负责解决，由此给基金造成的损失由基金管理人承担。</w:t>
      </w:r>
    </w:p>
    <w:p w:rsidR="00A674F9" w:rsidRDefault="00CD789A">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、基金出现超买或超卖的责任认定及处理程序</w:t>
      </w:r>
    </w:p>
    <w:p w:rsidR="00A674F9" w:rsidRDefault="00CD789A">
      <w:pPr>
        <w:spacing w:line="360" w:lineRule="auto"/>
        <w:ind w:firstLineChars="200" w:firstLine="480"/>
        <w:rPr>
          <w:rFonts w:ascii="宋体" w:hAnsi="宋体"/>
          <w:sz w:val="24"/>
        </w:rPr>
      </w:pPr>
      <w:r>
        <w:rPr>
          <w:rFonts w:ascii="宋体" w:hAnsi="宋体" w:hint="eastAsia"/>
          <w:sz w:val="24"/>
        </w:rPr>
        <w:t>基金托管人在履行监督职能时，如果发现基金投资证券过程中出现超买或超卖现象，应立即提醒基金管理人，由基金管理人负责解决，由此给基金财产造成的损失由基金管理人承担。如果</w:t>
      </w:r>
      <w:r>
        <w:rPr>
          <w:rFonts w:ascii="宋体" w:hAnsi="宋体" w:hint="eastAsia"/>
          <w:sz w:val="24"/>
        </w:rPr>
        <w:t>因基金管理人原因发生超买行为，基金管理人必须于</w:t>
      </w:r>
      <w:r>
        <w:rPr>
          <w:rFonts w:ascii="宋体" w:hAnsi="宋体" w:hint="eastAsia"/>
          <w:sz w:val="24"/>
        </w:rPr>
        <w:t>T+1</w:t>
      </w:r>
      <w:r>
        <w:rPr>
          <w:rFonts w:ascii="宋体" w:hAnsi="宋体" w:hint="eastAsia"/>
          <w:sz w:val="24"/>
        </w:rPr>
        <w:t>日上午</w:t>
      </w:r>
      <w:r>
        <w:rPr>
          <w:rFonts w:ascii="宋体" w:hAnsi="宋体" w:hint="eastAsia"/>
          <w:sz w:val="24"/>
        </w:rPr>
        <w:t>10</w:t>
      </w:r>
      <w:r>
        <w:rPr>
          <w:rFonts w:ascii="宋体" w:hAnsi="宋体" w:hint="eastAsia"/>
          <w:sz w:val="24"/>
        </w:rPr>
        <w:t>时之前划拨资金，用以完成清算交收。</w:t>
      </w:r>
    </w:p>
    <w:p w:rsidR="00A674F9" w:rsidRDefault="00CD789A">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、基金无法按时支付证券清算款的责任认定及处理程序</w:t>
      </w:r>
    </w:p>
    <w:p w:rsidR="00A674F9" w:rsidRDefault="00CD789A">
      <w:pPr>
        <w:spacing w:line="360" w:lineRule="auto"/>
        <w:ind w:firstLineChars="200" w:firstLine="480"/>
        <w:rPr>
          <w:rFonts w:ascii="宋体" w:hAnsi="宋体"/>
          <w:sz w:val="24"/>
        </w:rPr>
      </w:pPr>
      <w:r>
        <w:rPr>
          <w:rFonts w:ascii="宋体" w:hAnsi="宋体" w:hint="eastAsia"/>
          <w:sz w:val="24"/>
        </w:rPr>
        <w:t>基金管理人应确保基金托管人在执行基金管理人发送的指令时，有足够的头寸进行交收。基金的资金头寸不足时，基金托管人有权拒绝基金管理人发送的划款指令并同时通知基金管理人。基金管理人在发送划款指令时应充分考虑基金托管人的划款处理所需的合理时间。如由于基金管理人的原因导致无法按时支付证券清算款，由此给基金财产造成的损失由基金管理人承担。</w:t>
      </w:r>
    </w:p>
    <w:p w:rsidR="00A674F9" w:rsidRDefault="00CD789A">
      <w:pPr>
        <w:spacing w:line="360" w:lineRule="auto"/>
        <w:ind w:firstLineChars="200" w:firstLine="480"/>
        <w:rPr>
          <w:rFonts w:ascii="宋体" w:hAnsi="宋体"/>
          <w:sz w:val="24"/>
        </w:rPr>
      </w:pPr>
      <w:r>
        <w:rPr>
          <w:rFonts w:ascii="宋体" w:hAnsi="宋体" w:hint="eastAsia"/>
          <w:sz w:val="24"/>
        </w:rPr>
        <w:t>在基金资金头寸充足的情况下，基金</w:t>
      </w:r>
      <w:r>
        <w:rPr>
          <w:rFonts w:ascii="宋体" w:hAnsi="宋体" w:hint="eastAsia"/>
          <w:sz w:val="24"/>
        </w:rPr>
        <w:t>托管人对基金管理人符合法律法规、《基金合同》、基金托管协议的指令不得拖延或拒绝执行。如由于基金托管人的原因导致基金无法按时支付证券清算款，由此给基金造成的损失由基金托管人承担。</w:t>
      </w:r>
    </w:p>
    <w:p w:rsidR="00A674F9" w:rsidRDefault="00CD789A">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84" w:name="_Toc48703906"/>
      <w:r>
        <w:rPr>
          <w:rFonts w:ascii="宋体" w:eastAsia="宋体" w:hAnsi="宋体" w:hint="eastAsia"/>
          <w:b w:val="0"/>
          <w:bCs w:val="0"/>
          <w:sz w:val="24"/>
          <w:szCs w:val="24"/>
        </w:rPr>
        <w:t>（三）资金、证券账目及交易记录的核对</w:t>
      </w:r>
      <w:bookmarkEnd w:id="84"/>
    </w:p>
    <w:p w:rsidR="00A674F9" w:rsidRDefault="00CD789A">
      <w:pPr>
        <w:autoSpaceDE w:val="0"/>
        <w:autoSpaceDN w:val="0"/>
        <w:adjustRightInd w:val="0"/>
        <w:spacing w:line="360" w:lineRule="auto"/>
        <w:ind w:firstLineChars="200" w:firstLine="480"/>
        <w:jc w:val="left"/>
        <w:rPr>
          <w:rFonts w:ascii="宋体"/>
          <w:kern w:val="0"/>
          <w:sz w:val="24"/>
          <w:szCs w:val="20"/>
        </w:rPr>
      </w:pPr>
      <w:r>
        <w:rPr>
          <w:rFonts w:hint="eastAsia"/>
          <w:sz w:val="24"/>
        </w:rPr>
        <w:t>对基金的交易记录，由基金管理人按日进行核对。</w:t>
      </w:r>
      <w:r>
        <w:rPr>
          <w:rFonts w:ascii="宋体" w:hint="eastAsia"/>
          <w:kern w:val="0"/>
          <w:sz w:val="24"/>
          <w:szCs w:val="20"/>
        </w:rPr>
        <w:t>每日对外披露基金份额净值之前，必须保证当天所有实际交易记录与基金会计账簿上的交易记录完全一致。如果实际交易记录与会计账簿记录不一致，造成基金会计核算不完整或不真实，由此导致的损失由基金的会计责任方承担。</w:t>
      </w:r>
    </w:p>
    <w:p w:rsidR="00A674F9" w:rsidRDefault="00CD789A">
      <w:pPr>
        <w:spacing w:line="360" w:lineRule="auto"/>
        <w:ind w:firstLineChars="200" w:firstLine="480"/>
        <w:rPr>
          <w:rFonts w:ascii="宋体"/>
          <w:kern w:val="0"/>
          <w:sz w:val="24"/>
          <w:szCs w:val="20"/>
        </w:rPr>
      </w:pPr>
      <w:r>
        <w:rPr>
          <w:rFonts w:ascii="宋体" w:hint="eastAsia"/>
          <w:kern w:val="0"/>
          <w:sz w:val="24"/>
          <w:szCs w:val="20"/>
        </w:rPr>
        <w:lastRenderedPageBreak/>
        <w:t>对基金的资金账目，由相关各方每日对账一次，确保相</w:t>
      </w:r>
      <w:r>
        <w:rPr>
          <w:rFonts w:ascii="宋体" w:hint="eastAsia"/>
          <w:kern w:val="0"/>
          <w:sz w:val="24"/>
          <w:szCs w:val="20"/>
        </w:rPr>
        <w:t>关各方账账相符。</w:t>
      </w:r>
    </w:p>
    <w:p w:rsidR="00A674F9" w:rsidRDefault="00CD789A">
      <w:pPr>
        <w:spacing w:line="360" w:lineRule="auto"/>
        <w:ind w:firstLineChars="200" w:firstLine="480"/>
        <w:rPr>
          <w:rFonts w:ascii="宋体"/>
          <w:kern w:val="0"/>
          <w:sz w:val="24"/>
          <w:szCs w:val="20"/>
        </w:rPr>
      </w:pPr>
      <w:r>
        <w:rPr>
          <w:rFonts w:ascii="宋体" w:hint="eastAsia"/>
          <w:kern w:val="0"/>
          <w:sz w:val="24"/>
          <w:szCs w:val="20"/>
        </w:rPr>
        <w:t>对基金证券账目，由每周最后一个交易日终了时相关各方进行对账。</w:t>
      </w:r>
    </w:p>
    <w:p w:rsidR="00A674F9" w:rsidRDefault="00CD789A">
      <w:pPr>
        <w:spacing w:line="360" w:lineRule="auto"/>
        <w:ind w:firstLineChars="200" w:firstLine="480"/>
        <w:rPr>
          <w:rFonts w:ascii="宋体"/>
          <w:kern w:val="0"/>
          <w:sz w:val="24"/>
          <w:szCs w:val="20"/>
        </w:rPr>
      </w:pPr>
      <w:r>
        <w:rPr>
          <w:rFonts w:ascii="宋体" w:hint="eastAsia"/>
          <w:kern w:val="0"/>
          <w:sz w:val="24"/>
          <w:szCs w:val="20"/>
        </w:rPr>
        <w:t>对实物券账目，每月月末相关各方进行账实核对。</w:t>
      </w:r>
    </w:p>
    <w:p w:rsidR="00A674F9" w:rsidRDefault="00CD789A">
      <w:pPr>
        <w:spacing w:line="360" w:lineRule="auto"/>
        <w:ind w:firstLineChars="200" w:firstLine="480"/>
        <w:rPr>
          <w:rFonts w:ascii="宋体"/>
          <w:kern w:val="0"/>
          <w:sz w:val="24"/>
          <w:szCs w:val="20"/>
        </w:rPr>
      </w:pPr>
      <w:r>
        <w:rPr>
          <w:rFonts w:ascii="宋体" w:hint="eastAsia"/>
          <w:kern w:val="0"/>
          <w:sz w:val="24"/>
          <w:szCs w:val="20"/>
        </w:rPr>
        <w:t>对交易记录，由相关各方每日对账一次。</w:t>
      </w:r>
    </w:p>
    <w:p w:rsidR="00A674F9" w:rsidRDefault="00CD789A">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（四）申购、赎回、</w:t>
      </w:r>
      <w:r>
        <w:rPr>
          <w:rFonts w:ascii="宋体" w:eastAsia="宋体" w:hAnsi="宋体" w:hint="eastAsia"/>
          <w:b w:val="0"/>
          <w:sz w:val="24"/>
        </w:rPr>
        <w:t>转换开放式基金</w:t>
      </w:r>
      <w:r>
        <w:rPr>
          <w:rFonts w:ascii="宋体" w:eastAsia="宋体" w:hAnsi="宋体" w:hint="eastAsia"/>
          <w:b w:val="0"/>
          <w:bCs w:val="0"/>
          <w:sz w:val="24"/>
          <w:szCs w:val="24"/>
        </w:rPr>
        <w:t>的资金清算、</w:t>
      </w:r>
      <w:r>
        <w:rPr>
          <w:rFonts w:ascii="宋体" w:eastAsia="宋体" w:hAnsi="宋体" w:hint="eastAsia"/>
          <w:b w:val="0"/>
          <w:sz w:val="24"/>
        </w:rPr>
        <w:t>数据传递及托管协议当事人的责任</w:t>
      </w:r>
    </w:p>
    <w:p w:rsidR="00A674F9" w:rsidRDefault="00CD789A">
      <w:pPr>
        <w:spacing w:line="360" w:lineRule="auto"/>
        <w:ind w:firstLineChars="200" w:firstLine="480"/>
        <w:rPr>
          <w:rFonts w:ascii="宋体" w:hAnsi="宋体"/>
          <w:sz w:val="24"/>
        </w:rPr>
      </w:pPr>
      <w:bookmarkStart w:id="85" w:name="_Toc124749232"/>
      <w:bookmarkStart w:id="86" w:name="_Toc123626174"/>
      <w:bookmarkStart w:id="87" w:name="_Toc124749943"/>
      <w:r>
        <w:rPr>
          <w:rFonts w:ascii="宋体" w:hAnsi="宋体" w:hint="eastAsia"/>
          <w:sz w:val="24"/>
        </w:rPr>
        <w:t>1</w:t>
      </w:r>
      <w:r>
        <w:rPr>
          <w:rFonts w:ascii="宋体" w:hAnsi="宋体" w:hint="eastAsia"/>
          <w:sz w:val="24"/>
        </w:rPr>
        <w:t>、托管协议当事人在开放式基金的申购赎回、转换中的责任</w:t>
      </w:r>
    </w:p>
    <w:p w:rsidR="00A674F9" w:rsidRDefault="00CD789A">
      <w:pPr>
        <w:spacing w:line="360" w:lineRule="auto"/>
        <w:ind w:firstLineChars="200" w:firstLine="480"/>
        <w:rPr>
          <w:rFonts w:ascii="宋体" w:hAnsi="宋体"/>
          <w:sz w:val="24"/>
        </w:rPr>
      </w:pPr>
      <w:r>
        <w:rPr>
          <w:rFonts w:ascii="宋体" w:hAnsi="宋体" w:hint="eastAsia"/>
          <w:sz w:val="24"/>
        </w:rPr>
        <w:t>基金的投资者可通过基金管理人的直销中心和销售代理人的代销网点进行申购和赎回申请，由基金管理人办理基金份额的过户和登记，基金托管人负责接收并确认资金的到账情况，以及依照基金管理人的投资指令来划付赎回款项。</w:t>
      </w:r>
    </w:p>
    <w:p w:rsidR="00A674F9" w:rsidRDefault="00CD789A">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、开放式基金的数据传递</w:t>
      </w:r>
    </w:p>
    <w:p w:rsidR="00A674F9" w:rsidRDefault="00CD789A">
      <w:pPr>
        <w:spacing w:line="360" w:lineRule="auto"/>
        <w:ind w:firstLineChars="200" w:firstLine="480"/>
        <w:rPr>
          <w:rFonts w:ascii="宋体" w:hAnsi="宋体"/>
          <w:sz w:val="24"/>
          <w:szCs w:val="21"/>
        </w:rPr>
      </w:pPr>
      <w:r>
        <w:rPr>
          <w:rFonts w:ascii="宋体" w:hAnsi="宋体" w:hint="eastAsia"/>
          <w:sz w:val="24"/>
          <w:szCs w:val="21"/>
        </w:rPr>
        <w:t>基金管理人应于每个开放日</w:t>
      </w:r>
      <w:r>
        <w:rPr>
          <w:rFonts w:ascii="宋体" w:hAnsi="宋体" w:hint="eastAsia"/>
          <w:sz w:val="24"/>
          <w:szCs w:val="21"/>
        </w:rPr>
        <w:t>14</w:t>
      </w:r>
      <w:r>
        <w:rPr>
          <w:rFonts w:ascii="宋体" w:hAnsi="宋体" w:hint="eastAsia"/>
          <w:sz w:val="24"/>
          <w:szCs w:val="21"/>
        </w:rPr>
        <w:t>：</w:t>
      </w:r>
      <w:r>
        <w:rPr>
          <w:rFonts w:ascii="宋体" w:hAnsi="宋体" w:hint="eastAsia"/>
          <w:sz w:val="24"/>
          <w:szCs w:val="21"/>
        </w:rPr>
        <w:t>00</w:t>
      </w:r>
      <w:r>
        <w:rPr>
          <w:rFonts w:ascii="宋体" w:hAnsi="宋体" w:hint="eastAsia"/>
          <w:sz w:val="24"/>
          <w:szCs w:val="21"/>
        </w:rPr>
        <w:t>之前将前一个开放日经确认的基金申购金额和赎回份额以书面形式并加盖业务专用章通知基金托管人。</w:t>
      </w:r>
      <w:r>
        <w:rPr>
          <w:rFonts w:ascii="宋体" w:hAnsi="宋体" w:hint="eastAsia"/>
          <w:sz w:val="24"/>
        </w:rPr>
        <w:t>基金管理人应对传递的申购、赎回数据的真实性、准确性和完整性负责。</w:t>
      </w:r>
    </w:p>
    <w:p w:rsidR="00A674F9" w:rsidRDefault="00CD789A">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、开放式基金的资金清算</w:t>
      </w:r>
    </w:p>
    <w:p w:rsidR="00A674F9" w:rsidRDefault="00CD789A">
      <w:pPr>
        <w:spacing w:line="360" w:lineRule="auto"/>
        <w:ind w:right="28" w:firstLineChars="200" w:firstLine="480"/>
        <w:rPr>
          <w:rFonts w:ascii="宋体" w:hAnsi="宋体"/>
          <w:sz w:val="24"/>
          <w:szCs w:val="21"/>
        </w:rPr>
      </w:pPr>
      <w:r>
        <w:rPr>
          <w:rFonts w:ascii="宋体" w:hAnsi="宋体" w:hint="eastAsia"/>
          <w:sz w:val="24"/>
          <w:szCs w:val="21"/>
        </w:rPr>
        <w:t>基金申购、赎回等款项采用轧差交收的结算方式，净额在最晚不迟于</w:t>
      </w:r>
      <w:r>
        <w:rPr>
          <w:rFonts w:ascii="宋体" w:hAnsi="宋体" w:hint="eastAsia"/>
          <w:sz w:val="24"/>
          <w:szCs w:val="21"/>
        </w:rPr>
        <w:t>T+3</w:t>
      </w:r>
      <w:r>
        <w:rPr>
          <w:rFonts w:ascii="宋体" w:hAnsi="宋体" w:hint="eastAsia"/>
          <w:sz w:val="24"/>
          <w:szCs w:val="21"/>
        </w:rPr>
        <w:t>日上午</w:t>
      </w:r>
      <w:r>
        <w:rPr>
          <w:rFonts w:ascii="宋体" w:hAnsi="宋体" w:hint="eastAsia"/>
          <w:sz w:val="24"/>
          <w:szCs w:val="21"/>
        </w:rPr>
        <w:t>11</w:t>
      </w:r>
      <w:r>
        <w:rPr>
          <w:rFonts w:ascii="宋体" w:hAnsi="宋体" w:hint="eastAsia"/>
          <w:sz w:val="24"/>
          <w:szCs w:val="21"/>
        </w:rPr>
        <w:t>：</w:t>
      </w:r>
      <w:r>
        <w:rPr>
          <w:rFonts w:ascii="宋体" w:hAnsi="宋体" w:hint="eastAsia"/>
          <w:sz w:val="24"/>
          <w:szCs w:val="21"/>
        </w:rPr>
        <w:t>00</w:t>
      </w:r>
      <w:r>
        <w:rPr>
          <w:rFonts w:ascii="宋体" w:hAnsi="宋体" w:hint="eastAsia"/>
          <w:sz w:val="24"/>
          <w:szCs w:val="21"/>
        </w:rPr>
        <w:t>前在基金管理人总清算账户和资产托管专户之间交收。</w:t>
      </w:r>
    </w:p>
    <w:p w:rsidR="00A674F9" w:rsidRDefault="00CD789A">
      <w:pPr>
        <w:spacing w:line="360" w:lineRule="auto"/>
        <w:ind w:right="28" w:firstLineChars="200" w:firstLine="480"/>
        <w:rPr>
          <w:rFonts w:ascii="宋体" w:hAnsi="宋体"/>
          <w:sz w:val="24"/>
          <w:szCs w:val="21"/>
        </w:rPr>
      </w:pPr>
      <w:r>
        <w:rPr>
          <w:rFonts w:ascii="宋体" w:hAnsi="宋体" w:hint="eastAsia"/>
          <w:sz w:val="24"/>
          <w:szCs w:val="21"/>
        </w:rPr>
        <w:t>如果当日基金为净应收款，基金托管人应及时查收资金是否到账，对于未准时到账的资金，应及时通知基金管理人划付。对于未准时划付的资金，基金托管人</w:t>
      </w:r>
      <w:r>
        <w:rPr>
          <w:rFonts w:ascii="宋体" w:hAnsi="宋体" w:hint="eastAsia"/>
          <w:sz w:val="24"/>
          <w:szCs w:val="21"/>
        </w:rPr>
        <w:t>应及时通知基金管理人划付，由此产生的责任应由基金管理人承担。后果严重的基金托管人应向中国证监会报告。</w:t>
      </w:r>
    </w:p>
    <w:p w:rsidR="00A674F9" w:rsidRDefault="00CD789A">
      <w:pPr>
        <w:spacing w:line="360" w:lineRule="auto"/>
        <w:ind w:right="28" w:firstLineChars="200" w:firstLine="480"/>
        <w:rPr>
          <w:rFonts w:ascii="宋体" w:hAnsi="宋体"/>
          <w:sz w:val="24"/>
          <w:szCs w:val="21"/>
        </w:rPr>
      </w:pPr>
      <w:r>
        <w:rPr>
          <w:rFonts w:ascii="宋体" w:hAnsi="宋体" w:hint="eastAsia"/>
          <w:sz w:val="24"/>
          <w:szCs w:val="21"/>
        </w:rPr>
        <w:t>如果当日基金为净应付款，基金托管人应根据基金管理人的指令及时进行划付。对于未准时划付的资金，基金管理人应及时通知基金托管人划付，由此产生的责任应由基金托管人承担。后果严重的基金管理人应向中国证监会报告。</w:t>
      </w:r>
    </w:p>
    <w:p w:rsidR="00A674F9" w:rsidRDefault="00CD789A">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88" w:name="_Toc125361080"/>
      <w:bookmarkStart w:id="89" w:name="_Toc140002343"/>
      <w:r>
        <w:rPr>
          <w:rFonts w:ascii="宋体" w:hAnsi="宋体" w:cs="Arial" w:hint="eastAsia"/>
          <w:sz w:val="30"/>
        </w:rPr>
        <w:t>基金资产净值计算和会计核算</w:t>
      </w:r>
      <w:bookmarkStart w:id="90" w:name="_Toc48703909"/>
      <w:bookmarkEnd w:id="7"/>
      <w:bookmarkEnd w:id="8"/>
      <w:bookmarkEnd w:id="9"/>
      <w:bookmarkEnd w:id="85"/>
      <w:bookmarkEnd w:id="86"/>
      <w:bookmarkEnd w:id="87"/>
      <w:bookmarkEnd w:id="88"/>
      <w:bookmarkEnd w:id="89"/>
    </w:p>
    <w:p w:rsidR="00A674F9" w:rsidRDefault="00CD789A">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（一）基金资产净值的计算</w:t>
      </w:r>
    </w:p>
    <w:p w:rsidR="00A674F9" w:rsidRDefault="00CD789A">
      <w:pPr>
        <w:spacing w:line="360" w:lineRule="auto"/>
        <w:ind w:right="28" w:firstLineChars="200" w:firstLine="480"/>
        <w:rPr>
          <w:rFonts w:ascii="宋体" w:hAnsi="宋体"/>
          <w:sz w:val="24"/>
          <w:szCs w:val="21"/>
        </w:rPr>
      </w:pPr>
      <w:r>
        <w:rPr>
          <w:rFonts w:ascii="宋体" w:hAnsi="宋体" w:hint="eastAsia"/>
          <w:sz w:val="24"/>
          <w:szCs w:val="21"/>
        </w:rPr>
        <w:t>1</w:t>
      </w:r>
      <w:r>
        <w:rPr>
          <w:rFonts w:ascii="宋体" w:hAnsi="宋体" w:hint="eastAsia"/>
          <w:sz w:val="24"/>
          <w:szCs w:val="21"/>
        </w:rPr>
        <w:t>、基金资产净值的计算、复核的时间和程序</w:t>
      </w:r>
    </w:p>
    <w:p w:rsidR="00A674F9" w:rsidRDefault="00CD789A">
      <w:pPr>
        <w:spacing w:line="440" w:lineRule="atLeast"/>
        <w:ind w:right="28" w:firstLineChars="200" w:firstLine="480"/>
        <w:rPr>
          <w:rFonts w:ascii="宋体" w:hAnsi="宋体"/>
          <w:sz w:val="24"/>
          <w:szCs w:val="21"/>
        </w:rPr>
      </w:pPr>
      <w:r>
        <w:rPr>
          <w:rFonts w:ascii="宋体" w:hAnsi="宋体" w:hint="eastAsia"/>
          <w:sz w:val="24"/>
          <w:szCs w:val="21"/>
        </w:rPr>
        <w:t>基金资产净值是指基金资产总值减去负债后的价值。基金份额净值是指计</w:t>
      </w:r>
      <w:r>
        <w:rPr>
          <w:rFonts w:ascii="宋体" w:hAnsi="宋体" w:hint="eastAsia"/>
          <w:sz w:val="24"/>
          <w:szCs w:val="21"/>
        </w:rPr>
        <w:lastRenderedPageBreak/>
        <w:t>算日基金资产净值除以该计算日基金份额总份额后的数值。基金份额净值的计算保留到小数点后</w:t>
      </w:r>
      <w:r>
        <w:rPr>
          <w:rFonts w:ascii="宋体" w:hAnsi="宋体" w:hint="eastAsia"/>
          <w:sz w:val="24"/>
          <w:szCs w:val="21"/>
        </w:rPr>
        <w:t>3</w:t>
      </w:r>
      <w:r>
        <w:rPr>
          <w:rFonts w:ascii="宋体" w:hAnsi="宋体" w:hint="eastAsia"/>
          <w:sz w:val="24"/>
          <w:szCs w:val="21"/>
        </w:rPr>
        <w:t>位，</w:t>
      </w:r>
      <w:r>
        <w:rPr>
          <w:rFonts w:hint="eastAsia"/>
          <w:sz w:val="24"/>
        </w:rPr>
        <w:t>小数点后第</w:t>
      </w:r>
      <w:r>
        <w:rPr>
          <w:rFonts w:hint="eastAsia"/>
          <w:sz w:val="24"/>
        </w:rPr>
        <w:t>4</w:t>
      </w:r>
      <w:r>
        <w:rPr>
          <w:rFonts w:hint="eastAsia"/>
          <w:sz w:val="24"/>
        </w:rPr>
        <w:t>位四舍五入，由此产生的误差计入基金财产</w:t>
      </w:r>
      <w:r>
        <w:rPr>
          <w:rFonts w:ascii="宋体" w:hAnsi="宋体" w:hint="eastAsia"/>
          <w:sz w:val="24"/>
          <w:szCs w:val="21"/>
        </w:rPr>
        <w:t>。</w:t>
      </w:r>
    </w:p>
    <w:p w:rsidR="00A674F9" w:rsidRDefault="00CD789A">
      <w:pPr>
        <w:spacing w:line="440" w:lineRule="atLeast"/>
        <w:ind w:right="28" w:firstLineChars="200" w:firstLine="480"/>
        <w:rPr>
          <w:rFonts w:ascii="宋体" w:hAnsi="宋体"/>
          <w:sz w:val="24"/>
          <w:szCs w:val="21"/>
        </w:rPr>
      </w:pPr>
      <w:r>
        <w:rPr>
          <w:rFonts w:ascii="宋体" w:hAnsi="宋体" w:hint="eastAsia"/>
          <w:sz w:val="24"/>
          <w:szCs w:val="21"/>
        </w:rPr>
        <w:t>基金管理人应每工作日对基金资产估值。估值原则应符合《基金合同》、《证券投资基金会计核算业务指引》及其他法律、法规的规定。</w:t>
      </w:r>
      <w:r>
        <w:rPr>
          <w:rFonts w:ascii="宋体" w:hAnsi="宋体" w:hint="eastAsia"/>
          <w:sz w:val="24"/>
          <w:szCs w:val="21"/>
        </w:rPr>
        <w:t>基金资产净值和基金份额净值由基金管理人负责计算，基金托管人复</w:t>
      </w:r>
      <w:r>
        <w:rPr>
          <w:rFonts w:ascii="宋体" w:hAnsi="宋体" w:hint="eastAsia"/>
          <w:color w:val="000000"/>
          <w:sz w:val="24"/>
          <w:szCs w:val="21"/>
        </w:rPr>
        <w:t>核。</w:t>
      </w:r>
      <w:r>
        <w:rPr>
          <w:rFonts w:ascii="宋体" w:cs="宋体" w:hint="eastAsia"/>
          <w:color w:val="000000"/>
          <w:kern w:val="0"/>
          <w:sz w:val="24"/>
        </w:rPr>
        <w:t>基金管理人应于每个工作日交易结束后计算当日的基金份额</w:t>
      </w:r>
      <w:r>
        <w:rPr>
          <w:rFonts w:ascii="宋体" w:cs="宋体" w:hint="eastAsia"/>
          <w:color w:val="000000"/>
          <w:kern w:val="0"/>
          <w:sz w:val="24"/>
        </w:rPr>
        <w:t>净值并以双方认可的方式发送给基金托管人。基金托</w:t>
      </w:r>
      <w:r>
        <w:rPr>
          <w:rFonts w:ascii="宋体" w:cs="宋体" w:hint="eastAsia"/>
          <w:color w:val="000000"/>
          <w:kern w:val="0"/>
          <w:sz w:val="24"/>
        </w:rPr>
        <w:t>管人对净值计算结果复核后以双方认可的方式发送给基金管理人，由基金管理人对基金净值予以公布。</w:t>
      </w:r>
    </w:p>
    <w:p w:rsidR="00A674F9" w:rsidRDefault="00CD789A">
      <w:pPr>
        <w:tabs>
          <w:tab w:val="left" w:pos="900"/>
        </w:tabs>
        <w:spacing w:line="360" w:lineRule="auto"/>
        <w:ind w:right="28" w:firstLineChars="200" w:firstLine="480"/>
        <w:rPr>
          <w:rFonts w:ascii="宋体" w:hAnsi="宋体"/>
          <w:sz w:val="24"/>
          <w:szCs w:val="21"/>
        </w:rPr>
      </w:pPr>
      <w:r>
        <w:rPr>
          <w:rFonts w:ascii="宋体" w:hAnsi="宋体" w:hint="eastAsia"/>
          <w:sz w:val="24"/>
        </w:rPr>
        <w:t>根据《基金法》，基金管理人计算并公告基金</w:t>
      </w:r>
      <w:r>
        <w:rPr>
          <w:rFonts w:ascii="宋体" w:hAnsi="宋体" w:hint="eastAsia"/>
          <w:sz w:val="24"/>
        </w:rPr>
        <w:t>净值，基金托管人复核、审查基金管理人计算的基金</w:t>
      </w:r>
      <w:r>
        <w:rPr>
          <w:rFonts w:ascii="宋体" w:hAnsi="宋体" w:hint="eastAsia"/>
          <w:sz w:val="24"/>
        </w:rPr>
        <w:t>净值。因此，本基金的会计责任方是基金管理人，就与本基金有关的会计问题，如经相关各方在平等基础上充分讨论后，仍无法达成一致的意见，按照基金管理人对基金</w:t>
      </w:r>
      <w:r>
        <w:rPr>
          <w:rFonts w:ascii="宋体" w:hAnsi="宋体" w:hint="eastAsia"/>
          <w:sz w:val="24"/>
        </w:rPr>
        <w:t>净值的计算结果对外予以公布。法律法规以及监管部门有强制规定的，从其规定。如有新增事项，按国家最新规定估值。</w:t>
      </w:r>
    </w:p>
    <w:p w:rsidR="00A674F9" w:rsidRDefault="00CD789A">
      <w:pPr>
        <w:pStyle w:val="2"/>
        <w:keepNext w:val="0"/>
        <w:keepLines w:val="0"/>
        <w:autoSpaceDE w:val="0"/>
        <w:autoSpaceDN w:val="0"/>
        <w:adjustRightInd w:val="0"/>
        <w:spacing w:before="0" w:after="0" w:line="440" w:lineRule="atLeast"/>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（二）基金资产估值方法</w:t>
      </w:r>
    </w:p>
    <w:p w:rsidR="00A674F9" w:rsidRDefault="00CD789A">
      <w:pPr>
        <w:spacing w:line="440" w:lineRule="atLeast"/>
        <w:ind w:right="28" w:firstLineChars="200" w:firstLine="480"/>
        <w:rPr>
          <w:rFonts w:ascii="宋体" w:hAnsi="宋体"/>
          <w:sz w:val="24"/>
          <w:szCs w:val="21"/>
        </w:rPr>
      </w:pPr>
      <w:r>
        <w:rPr>
          <w:rFonts w:ascii="宋体" w:hAnsi="宋体" w:hint="eastAsia"/>
          <w:sz w:val="24"/>
          <w:szCs w:val="21"/>
        </w:rPr>
        <w:t>1</w:t>
      </w:r>
      <w:r>
        <w:rPr>
          <w:rFonts w:ascii="宋体" w:hAnsi="宋体" w:hint="eastAsia"/>
          <w:sz w:val="24"/>
          <w:szCs w:val="21"/>
        </w:rPr>
        <w:t>、估值对象</w:t>
      </w:r>
    </w:p>
    <w:p w:rsidR="00A674F9" w:rsidRDefault="00CD789A">
      <w:pPr>
        <w:spacing w:line="360" w:lineRule="auto"/>
        <w:ind w:firstLineChars="200" w:firstLine="480"/>
        <w:rPr>
          <w:rFonts w:ascii="宋体" w:hAnsi="宋体"/>
          <w:sz w:val="24"/>
        </w:rPr>
      </w:pPr>
      <w:r>
        <w:rPr>
          <w:rFonts w:ascii="宋体" w:hAnsi="宋体" w:hint="eastAsia"/>
          <w:sz w:val="24"/>
        </w:rPr>
        <w:t>基金所拥有的股票、股指期货合约、债券、权证和银行存款本息、应收款项、其它投资等资产及负债。</w:t>
      </w:r>
    </w:p>
    <w:p w:rsidR="00A674F9" w:rsidRDefault="00CD789A">
      <w:pPr>
        <w:spacing w:line="440" w:lineRule="atLeast"/>
        <w:ind w:right="28" w:firstLineChars="200" w:firstLine="480"/>
        <w:rPr>
          <w:rFonts w:ascii="宋体" w:hAnsi="宋体"/>
          <w:sz w:val="24"/>
          <w:szCs w:val="21"/>
        </w:rPr>
      </w:pPr>
      <w:r>
        <w:rPr>
          <w:rFonts w:ascii="宋体" w:hAnsi="宋体" w:hint="eastAsia"/>
          <w:sz w:val="24"/>
          <w:szCs w:val="21"/>
        </w:rPr>
        <w:t>2</w:t>
      </w:r>
      <w:r>
        <w:rPr>
          <w:rFonts w:ascii="宋体" w:hAnsi="宋体" w:hint="eastAsia"/>
          <w:sz w:val="24"/>
          <w:szCs w:val="21"/>
        </w:rPr>
        <w:t>、估值方法</w:t>
      </w:r>
    </w:p>
    <w:p w:rsidR="00A674F9" w:rsidRDefault="00CD789A">
      <w:pPr>
        <w:spacing w:line="440" w:lineRule="atLeast"/>
        <w:ind w:right="28" w:firstLineChars="200" w:firstLine="480"/>
        <w:rPr>
          <w:rFonts w:ascii="宋体" w:hAnsi="宋体"/>
          <w:sz w:val="24"/>
        </w:rPr>
      </w:pPr>
      <w:r>
        <w:rPr>
          <w:rFonts w:ascii="宋体" w:hAnsi="宋体" w:hint="eastAsia"/>
          <w:sz w:val="24"/>
        </w:rPr>
        <w:t>本基金的估值方法为：</w:t>
      </w:r>
    </w:p>
    <w:p w:rsidR="00A674F9" w:rsidRDefault="00CD789A">
      <w:pPr>
        <w:spacing w:line="360" w:lineRule="auto"/>
        <w:ind w:firstLineChars="200" w:firstLine="480"/>
        <w:rPr>
          <w:rFonts w:ascii="宋体" w:hAnsi="宋体"/>
          <w:sz w:val="24"/>
        </w:rPr>
      </w:pPr>
      <w:bookmarkStart w:id="91" w:name="_Hlt88821719"/>
      <w:bookmarkStart w:id="92" w:name="_Hlt88900318"/>
      <w:bookmarkEnd w:id="91"/>
      <w:bookmarkEnd w:id="92"/>
      <w:r>
        <w:rPr>
          <w:rFonts w:ascii="宋体" w:hAnsi="宋体" w:hint="eastAsia"/>
          <w:sz w:val="24"/>
        </w:rPr>
        <w:t>（</w:t>
      </w:r>
      <w:r>
        <w:rPr>
          <w:rFonts w:ascii="宋体" w:hAnsi="宋体" w:hint="eastAsia"/>
          <w:sz w:val="24"/>
        </w:rPr>
        <w:t>1</w:t>
      </w:r>
      <w:r>
        <w:rPr>
          <w:rFonts w:ascii="宋体" w:hAnsi="宋体" w:hint="eastAsia"/>
          <w:sz w:val="24"/>
        </w:rPr>
        <w:t>）证券交易所上市的有价证券的估值</w:t>
      </w:r>
    </w:p>
    <w:p w:rsidR="00A674F9" w:rsidRDefault="00CD789A">
      <w:pPr>
        <w:spacing w:line="360" w:lineRule="auto"/>
        <w:ind w:firstLineChars="200" w:firstLine="480"/>
        <w:rPr>
          <w:rFonts w:ascii="宋体" w:hAnsi="宋体"/>
          <w:sz w:val="24"/>
        </w:rPr>
      </w:pPr>
      <w:r>
        <w:rPr>
          <w:rFonts w:ascii="宋体" w:hAnsi="宋体" w:hint="eastAsia"/>
          <w:sz w:val="24"/>
        </w:rPr>
        <w:t>①交易所上市的有价证券（包括股票、权证等），以其估值日在证券交易所挂牌的市价（收盘价）估值；估值日无交易的，且最近交易日后经济环境未发生重大变化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w:t>
      </w:r>
      <w:r>
        <w:rPr>
          <w:rFonts w:ascii="宋体" w:hAnsi="宋体" w:hint="eastAsia"/>
          <w:sz w:val="24"/>
        </w:rPr>
        <w:t>，以最近交易日的市价（收盘价）估值；如最近交易日后经济环境发生了重大变化的，可参考类似投资品种的现行市价及重大变化因素，调整最近交易市价，确定公允价格。</w:t>
      </w:r>
    </w:p>
    <w:p w:rsidR="00A674F9" w:rsidRDefault="00CD789A">
      <w:pPr>
        <w:spacing w:line="360" w:lineRule="auto"/>
        <w:ind w:firstLineChars="200" w:firstLine="480"/>
        <w:rPr>
          <w:rFonts w:ascii="宋体" w:hAnsi="宋体"/>
          <w:sz w:val="24"/>
        </w:rPr>
      </w:pPr>
      <w:r>
        <w:rPr>
          <w:rFonts w:ascii="宋体" w:hAnsi="宋体" w:hint="eastAsia"/>
          <w:sz w:val="24"/>
        </w:rPr>
        <w:t>②交</w:t>
      </w:r>
      <w:r>
        <w:rPr>
          <w:rFonts w:ascii="宋体" w:hAnsi="宋体" w:hint="eastAsia"/>
          <w:sz w:val="24"/>
        </w:rPr>
        <w:t>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A674F9" w:rsidRDefault="00CD789A">
      <w:pPr>
        <w:spacing w:line="360" w:lineRule="auto"/>
        <w:ind w:firstLineChars="200" w:firstLine="480"/>
        <w:rPr>
          <w:rFonts w:ascii="宋体" w:hAnsi="宋体"/>
          <w:color w:val="FF0000"/>
          <w:sz w:val="24"/>
        </w:rPr>
      </w:pPr>
      <w:r>
        <w:rPr>
          <w:rFonts w:ascii="宋体" w:hAnsi="宋体" w:hint="eastAsia"/>
          <w:sz w:val="24"/>
        </w:rPr>
        <w:lastRenderedPageBreak/>
        <w:t>③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w:t>
      </w:r>
      <w:r>
        <w:rPr>
          <w:rFonts w:ascii="宋体" w:hAnsi="宋体" w:hint="eastAsia"/>
          <w:sz w:val="24"/>
        </w:rPr>
        <w:t>化的，可参考类似投资品种的现行市价及重大变化因素，调整最近交易市价，确定公允价格；</w:t>
      </w:r>
    </w:p>
    <w:p w:rsidR="00A674F9" w:rsidRDefault="00CD789A">
      <w:pPr>
        <w:spacing w:line="360" w:lineRule="auto"/>
        <w:ind w:firstLineChars="200" w:firstLine="480"/>
        <w:rPr>
          <w:rFonts w:ascii="宋体" w:hAnsi="宋体"/>
          <w:sz w:val="24"/>
        </w:rPr>
      </w:pPr>
      <w:r>
        <w:rPr>
          <w:rFonts w:ascii="宋体" w:hAnsi="宋体" w:hint="eastAsia"/>
          <w:sz w:val="24"/>
        </w:rPr>
        <w:t>④交易所上市不存在活跃市场的有价证券，采用估值技术确定公允价值。交易所上市的资产支持证券，</w:t>
      </w:r>
      <w:r>
        <w:rPr>
          <w:rFonts w:ascii="宋体" w:hAnsi="宋体" w:hint="eastAsia"/>
          <w:color w:val="000000"/>
          <w:sz w:val="24"/>
        </w:rPr>
        <w:t>采用估值技术确定公允价值，在估值技术难以可靠计量公允价值的情况下，按成本估值。</w:t>
      </w:r>
    </w:p>
    <w:p w:rsidR="00A674F9" w:rsidRDefault="00CD789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）处于未上市期间的有价证券应区分如下情况处理：</w:t>
      </w:r>
    </w:p>
    <w:p w:rsidR="00A674F9" w:rsidRDefault="00CD789A">
      <w:pPr>
        <w:spacing w:line="360" w:lineRule="auto"/>
        <w:ind w:firstLineChars="200" w:firstLine="480"/>
        <w:rPr>
          <w:rFonts w:ascii="宋体" w:hAnsi="宋体"/>
          <w:sz w:val="24"/>
        </w:rPr>
      </w:pPr>
      <w:r>
        <w:rPr>
          <w:rFonts w:ascii="宋体" w:hAnsi="宋体" w:hint="eastAsia"/>
          <w:sz w:val="24"/>
        </w:rPr>
        <w:t>①送股、转增股、配股和公开增发的新股，按估值日在证券交易所挂牌的同一股票的估值方法估值；该日无交易的，以最近一日的市价（收盘价）估值；</w:t>
      </w:r>
    </w:p>
    <w:p w:rsidR="00A674F9" w:rsidRDefault="00CD789A">
      <w:pPr>
        <w:spacing w:line="360" w:lineRule="auto"/>
        <w:ind w:firstLineChars="200" w:firstLine="480"/>
        <w:rPr>
          <w:rFonts w:ascii="宋体" w:hAnsi="宋体"/>
          <w:color w:val="000000"/>
          <w:sz w:val="24"/>
        </w:rPr>
      </w:pPr>
      <w:r>
        <w:rPr>
          <w:rFonts w:ascii="宋体" w:hAnsi="宋体" w:hint="eastAsia"/>
          <w:sz w:val="24"/>
        </w:rPr>
        <w:t>②首次公开发行未上市的股票、债券和权证，</w:t>
      </w:r>
      <w:r>
        <w:rPr>
          <w:rFonts w:ascii="宋体" w:hAnsi="宋体" w:hint="eastAsia"/>
          <w:color w:val="000000"/>
          <w:sz w:val="24"/>
        </w:rPr>
        <w:t>采用估值技术确定公允价值，在估</w:t>
      </w:r>
      <w:r>
        <w:rPr>
          <w:rFonts w:ascii="宋体" w:hAnsi="宋体" w:hint="eastAsia"/>
          <w:color w:val="000000"/>
          <w:sz w:val="24"/>
        </w:rPr>
        <w:t>值技术难以可靠计量公允价值的情况下，按成本估值。</w:t>
      </w:r>
    </w:p>
    <w:p w:rsidR="00A674F9" w:rsidRDefault="00CD789A">
      <w:pPr>
        <w:spacing w:line="360" w:lineRule="auto"/>
        <w:ind w:firstLineChars="200" w:firstLine="480"/>
        <w:rPr>
          <w:rFonts w:ascii="宋体" w:hAnsi="宋体"/>
          <w:sz w:val="24"/>
        </w:rPr>
      </w:pPr>
      <w:r>
        <w:rPr>
          <w:rFonts w:ascii="宋体" w:hAnsi="宋体" w:hint="eastAsia"/>
          <w:sz w:val="24"/>
        </w:rPr>
        <w:t>③</w:t>
      </w:r>
      <w:r>
        <w:rPr>
          <w:rFonts w:ascii="宋体" w:hAnsi="宋体" w:hint="eastAsia"/>
          <w:color w:val="000000"/>
          <w:sz w:val="24"/>
        </w:rPr>
        <w:t>首次公开发行有明确锁定期的股票，同一股票在交易所上市后，按交易所上市的同一股票的</w:t>
      </w:r>
      <w:r>
        <w:rPr>
          <w:rFonts w:ascii="宋体" w:hAnsi="宋体" w:hint="eastAsia"/>
          <w:sz w:val="24"/>
        </w:rPr>
        <w:t>估值方法</w:t>
      </w:r>
      <w:r>
        <w:rPr>
          <w:rFonts w:ascii="宋体" w:hAnsi="宋体" w:hint="eastAsia"/>
          <w:color w:val="000000"/>
          <w:sz w:val="24"/>
        </w:rPr>
        <w:t>估值；非公开发行有明确锁定期的股票，</w:t>
      </w:r>
      <w:r>
        <w:rPr>
          <w:rFonts w:ascii="宋体" w:hAnsi="宋体" w:hint="eastAsia"/>
          <w:sz w:val="24"/>
        </w:rPr>
        <w:t>按监管机构或行业协会有关规定</w:t>
      </w:r>
      <w:r>
        <w:rPr>
          <w:rFonts w:ascii="宋体" w:hAnsi="宋体" w:hint="eastAsia"/>
          <w:color w:val="000000"/>
          <w:sz w:val="24"/>
        </w:rPr>
        <w:t>确定公允价值。</w:t>
      </w:r>
    </w:p>
    <w:p w:rsidR="00A674F9" w:rsidRDefault="00CD789A">
      <w:pPr>
        <w:spacing w:line="360" w:lineRule="auto"/>
        <w:ind w:firstLineChars="200" w:firstLine="480"/>
        <w:rPr>
          <w:rFonts w:ascii="宋体" w:hAnsi="宋体"/>
          <w:color w:val="000000"/>
          <w:sz w:val="24"/>
        </w:rPr>
      </w:pPr>
      <w:r>
        <w:rPr>
          <w:rFonts w:ascii="宋体" w:hAnsi="宋体" w:hint="eastAsia"/>
          <w:sz w:val="24"/>
        </w:rPr>
        <w:t>（</w:t>
      </w:r>
      <w:r>
        <w:rPr>
          <w:rFonts w:ascii="宋体" w:hAnsi="宋体" w:hint="eastAsia"/>
          <w:sz w:val="24"/>
        </w:rPr>
        <w:t>3</w:t>
      </w:r>
      <w:r>
        <w:rPr>
          <w:rFonts w:ascii="宋体" w:hAnsi="宋体" w:hint="eastAsia"/>
          <w:sz w:val="24"/>
        </w:rPr>
        <w:t>）</w:t>
      </w:r>
      <w:r>
        <w:rPr>
          <w:rFonts w:ascii="宋体" w:hAnsi="宋体" w:hint="eastAsia"/>
          <w:color w:val="000000"/>
          <w:sz w:val="24"/>
        </w:rPr>
        <w:t>全国银行间债券市场交易的债券、资产支持证券等固定收益品种，采用估值技术确定公允价值。</w:t>
      </w:r>
    </w:p>
    <w:p w:rsidR="00A674F9" w:rsidRDefault="00CD789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）如有确凿证据表明按上述方法进行估值不能客观反映其公允价值的，基金管理人可根据具体情况与基金托管人商定后，按最能反映公允价值的价格估值。</w:t>
      </w:r>
    </w:p>
    <w:p w:rsidR="00A674F9" w:rsidRDefault="00CD789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w:t>
      </w:r>
      <w:r>
        <w:rPr>
          <w:rFonts w:hint="eastAsia"/>
          <w:bCs/>
          <w:sz w:val="24"/>
        </w:rPr>
        <w:t>股指期货按估值日其所在证券交易所的结算价估值；估值日</w:t>
      </w:r>
      <w:r>
        <w:rPr>
          <w:rFonts w:hint="eastAsia"/>
          <w:bCs/>
          <w:sz w:val="24"/>
        </w:rPr>
        <w:t>无交易的，且最近交易日后经济环境未发生重大变化，以最近交易日的结算价估值。</w:t>
      </w:r>
    </w:p>
    <w:p w:rsidR="00A674F9" w:rsidRDefault="00CD789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）相关法律法规以及监管部门有强制规定的，从其规定。如有新增事项，按国家最新规定估值。</w:t>
      </w:r>
    </w:p>
    <w:p w:rsidR="00A674F9" w:rsidRDefault="00CD789A">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93" w:name="_Toc22454458"/>
      <w:bookmarkEnd w:id="90"/>
      <w:r>
        <w:rPr>
          <w:rFonts w:ascii="宋体" w:eastAsia="宋体" w:hAnsi="宋体" w:hint="eastAsia"/>
          <w:b w:val="0"/>
          <w:bCs w:val="0"/>
          <w:sz w:val="24"/>
          <w:szCs w:val="24"/>
        </w:rPr>
        <w:t>（三）估值差错处理</w:t>
      </w:r>
      <w:bookmarkEnd w:id="93"/>
    </w:p>
    <w:p w:rsidR="00A674F9" w:rsidRDefault="00CD789A">
      <w:pPr>
        <w:spacing w:line="360" w:lineRule="auto"/>
        <w:ind w:right="28" w:firstLineChars="200" w:firstLine="480"/>
        <w:rPr>
          <w:rFonts w:ascii="宋体" w:hAnsi="宋体"/>
          <w:sz w:val="24"/>
          <w:szCs w:val="21"/>
        </w:rPr>
      </w:pPr>
      <w:r>
        <w:rPr>
          <w:rFonts w:ascii="宋体" w:hAnsi="宋体" w:hint="eastAsia"/>
          <w:sz w:val="24"/>
          <w:szCs w:val="21"/>
        </w:rPr>
        <w:t>基金管理人和基金托管人将采取必要、适当、合理的措施确保基金资产估值的准确性、及时性。当基金份额净值小数点后</w:t>
      </w:r>
      <w:r>
        <w:rPr>
          <w:rFonts w:ascii="宋体" w:hAnsi="宋体" w:hint="eastAsia"/>
          <w:sz w:val="24"/>
          <w:szCs w:val="21"/>
        </w:rPr>
        <w:t>3</w:t>
      </w:r>
      <w:r>
        <w:rPr>
          <w:rFonts w:ascii="宋体" w:hAnsi="宋体" w:hint="eastAsia"/>
          <w:sz w:val="24"/>
          <w:szCs w:val="21"/>
        </w:rPr>
        <w:t>位以内（含第</w:t>
      </w:r>
      <w:r>
        <w:rPr>
          <w:rFonts w:ascii="宋体" w:hAnsi="宋体" w:hint="eastAsia"/>
          <w:sz w:val="24"/>
          <w:szCs w:val="21"/>
        </w:rPr>
        <w:t>3</w:t>
      </w:r>
      <w:r>
        <w:rPr>
          <w:rFonts w:ascii="宋体" w:hAnsi="宋体" w:hint="eastAsia"/>
          <w:sz w:val="24"/>
          <w:szCs w:val="21"/>
        </w:rPr>
        <w:t>位）发生估</w:t>
      </w:r>
      <w:r>
        <w:rPr>
          <w:rFonts w:ascii="宋体" w:hAnsi="宋体" w:hint="eastAsia"/>
          <w:sz w:val="24"/>
          <w:szCs w:val="21"/>
        </w:rPr>
        <w:lastRenderedPageBreak/>
        <w:t>值错误时，视为基金份额净值错误。</w:t>
      </w:r>
    </w:p>
    <w:p w:rsidR="00A674F9" w:rsidRDefault="00CD789A">
      <w:pPr>
        <w:spacing w:line="360" w:lineRule="auto"/>
        <w:ind w:right="28" w:firstLineChars="200" w:firstLine="480"/>
        <w:rPr>
          <w:rFonts w:ascii="宋体" w:hAnsi="宋体"/>
          <w:sz w:val="24"/>
          <w:szCs w:val="21"/>
        </w:rPr>
      </w:pPr>
      <w:r>
        <w:rPr>
          <w:rFonts w:ascii="宋体" w:hAnsi="宋体" w:hint="eastAsia"/>
          <w:sz w:val="24"/>
          <w:szCs w:val="21"/>
        </w:rPr>
        <w:t>双方应按照以下约定处理：</w:t>
      </w:r>
    </w:p>
    <w:p w:rsidR="00A674F9" w:rsidRDefault="00CD789A">
      <w:pPr>
        <w:spacing w:line="360" w:lineRule="auto"/>
        <w:ind w:right="28" w:firstLineChars="200" w:firstLine="480"/>
        <w:rPr>
          <w:rFonts w:ascii="宋体" w:hAnsi="宋体"/>
          <w:sz w:val="24"/>
          <w:szCs w:val="21"/>
        </w:rPr>
      </w:pPr>
      <w:r>
        <w:rPr>
          <w:rFonts w:ascii="宋体" w:hAnsi="宋体" w:hint="eastAsia"/>
          <w:sz w:val="24"/>
          <w:szCs w:val="21"/>
        </w:rPr>
        <w:t>1</w:t>
      </w:r>
      <w:r>
        <w:rPr>
          <w:rFonts w:ascii="宋体" w:hAnsi="宋体" w:hint="eastAsia"/>
          <w:sz w:val="24"/>
          <w:szCs w:val="21"/>
        </w:rPr>
        <w:t>、估值错误类型</w:t>
      </w:r>
    </w:p>
    <w:p w:rsidR="00A674F9" w:rsidRDefault="00CD789A">
      <w:pPr>
        <w:spacing w:line="360" w:lineRule="auto"/>
        <w:ind w:right="28" w:firstLineChars="200" w:firstLine="480"/>
        <w:rPr>
          <w:rFonts w:ascii="宋体" w:hAnsi="宋体"/>
          <w:sz w:val="24"/>
          <w:szCs w:val="21"/>
        </w:rPr>
      </w:pPr>
      <w:r>
        <w:rPr>
          <w:rFonts w:ascii="宋体" w:hAnsi="宋体" w:hint="eastAsia"/>
          <w:sz w:val="24"/>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A674F9" w:rsidRDefault="00CD789A">
      <w:pPr>
        <w:spacing w:line="360" w:lineRule="auto"/>
        <w:ind w:right="28" w:firstLineChars="200" w:firstLine="480"/>
        <w:rPr>
          <w:rFonts w:ascii="宋体" w:hAnsi="宋体"/>
          <w:sz w:val="24"/>
          <w:szCs w:val="21"/>
        </w:rPr>
      </w:pPr>
      <w:r>
        <w:rPr>
          <w:rFonts w:ascii="宋体" w:hAnsi="宋体" w:hint="eastAsia"/>
          <w:sz w:val="24"/>
          <w:szCs w:val="21"/>
        </w:rPr>
        <w:t>上述估值错误的主要类型包括但不限于：资料申报差错、数据传输差错、数据计算差错、系统故障差错、下达指令差错等。</w:t>
      </w:r>
    </w:p>
    <w:p w:rsidR="00A674F9" w:rsidRDefault="00CD789A">
      <w:pPr>
        <w:spacing w:line="360" w:lineRule="auto"/>
        <w:ind w:right="28" w:firstLineChars="200" w:firstLine="480"/>
        <w:rPr>
          <w:rFonts w:ascii="宋体" w:hAnsi="宋体"/>
          <w:sz w:val="24"/>
          <w:szCs w:val="21"/>
        </w:rPr>
      </w:pPr>
      <w:r>
        <w:rPr>
          <w:rFonts w:ascii="宋体" w:hAnsi="宋体" w:hint="eastAsia"/>
          <w:sz w:val="24"/>
          <w:szCs w:val="21"/>
        </w:rPr>
        <w:t>2</w:t>
      </w:r>
      <w:r>
        <w:rPr>
          <w:rFonts w:ascii="宋体" w:hAnsi="宋体" w:hint="eastAsia"/>
          <w:sz w:val="24"/>
          <w:szCs w:val="21"/>
        </w:rPr>
        <w:t>、估值错误处理原则</w:t>
      </w:r>
    </w:p>
    <w:p w:rsidR="00A674F9" w:rsidRDefault="00CD789A">
      <w:pPr>
        <w:spacing w:line="360" w:lineRule="auto"/>
        <w:ind w:right="28"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1</w:t>
      </w:r>
      <w:r>
        <w:rPr>
          <w:rFonts w:ascii="宋体" w:hAnsi="宋体" w:hint="eastAsia"/>
          <w:sz w:val="24"/>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A674F9" w:rsidRDefault="00CD789A">
      <w:pPr>
        <w:spacing w:line="360" w:lineRule="auto"/>
        <w:ind w:right="28"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2</w:t>
      </w:r>
      <w:r>
        <w:rPr>
          <w:rFonts w:ascii="宋体" w:hAnsi="宋体" w:hint="eastAsia"/>
          <w:sz w:val="24"/>
          <w:szCs w:val="21"/>
        </w:rPr>
        <w:t>）估值错误的责任方对有关当事人的直接损失负责，不对间接损失负责，并且仅对估值错误</w:t>
      </w:r>
      <w:r>
        <w:rPr>
          <w:rFonts w:ascii="宋体" w:hAnsi="宋体" w:hint="eastAsia"/>
          <w:sz w:val="24"/>
          <w:szCs w:val="21"/>
        </w:rPr>
        <w:t>的有关直接当事人负责，不对第三方负责。</w:t>
      </w:r>
    </w:p>
    <w:p w:rsidR="00A674F9" w:rsidRDefault="00CD789A">
      <w:pPr>
        <w:spacing w:line="360" w:lineRule="auto"/>
        <w:ind w:right="28"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3</w:t>
      </w:r>
      <w:r>
        <w:rPr>
          <w:rFonts w:ascii="宋体" w:hAnsi="宋体" w:hint="eastAsia"/>
          <w:sz w:val="24"/>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Pr>
          <w:rFonts w:ascii="宋体" w:hAnsi="宋体" w:hint="eastAsia"/>
          <w:sz w:val="24"/>
          <w:szCs w:val="21"/>
        </w:rPr>
        <w:t>(</w:t>
      </w:r>
      <w:r>
        <w:rPr>
          <w:rFonts w:ascii="宋体" w:hAnsi="宋体" w:hint="eastAsia"/>
          <w:sz w:val="24"/>
          <w:szCs w:val="21"/>
        </w:rPr>
        <w:t>“受损方”</w:t>
      </w:r>
      <w:r>
        <w:rPr>
          <w:rFonts w:ascii="宋体" w:hAnsi="宋体" w:hint="eastAsia"/>
          <w:sz w:val="24"/>
          <w:szCs w:val="21"/>
        </w:rPr>
        <w:t>)</w:t>
      </w:r>
      <w:r>
        <w:rPr>
          <w:rFonts w:ascii="宋体" w:hAnsi="宋体" w:hint="eastAsia"/>
          <w:sz w:val="24"/>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w:t>
      </w:r>
      <w:r>
        <w:rPr>
          <w:rFonts w:ascii="宋体" w:hAnsi="宋体" w:hint="eastAsia"/>
          <w:sz w:val="24"/>
          <w:szCs w:val="21"/>
        </w:rPr>
        <w:t>任方。</w:t>
      </w:r>
    </w:p>
    <w:p w:rsidR="00A674F9" w:rsidRDefault="00CD789A">
      <w:pPr>
        <w:spacing w:line="360" w:lineRule="auto"/>
        <w:ind w:right="28"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4</w:t>
      </w:r>
      <w:r>
        <w:rPr>
          <w:rFonts w:ascii="宋体" w:hAnsi="宋体" w:hint="eastAsia"/>
          <w:sz w:val="24"/>
          <w:szCs w:val="21"/>
        </w:rPr>
        <w:t>）估值错误调整采用尽量恢复至假设未发生估值错误的正确情形的方式。</w:t>
      </w:r>
    </w:p>
    <w:p w:rsidR="00A674F9" w:rsidRDefault="00CD789A">
      <w:pPr>
        <w:spacing w:line="360" w:lineRule="auto"/>
        <w:ind w:right="28" w:firstLineChars="200" w:firstLine="480"/>
        <w:rPr>
          <w:rFonts w:ascii="宋体" w:hAnsi="宋体"/>
          <w:sz w:val="24"/>
          <w:szCs w:val="21"/>
        </w:rPr>
      </w:pPr>
      <w:r>
        <w:rPr>
          <w:rFonts w:ascii="宋体" w:hAnsi="宋体" w:hint="eastAsia"/>
          <w:sz w:val="24"/>
          <w:szCs w:val="21"/>
        </w:rPr>
        <w:t>3</w:t>
      </w:r>
      <w:r>
        <w:rPr>
          <w:rFonts w:ascii="宋体" w:hAnsi="宋体" w:hint="eastAsia"/>
          <w:sz w:val="24"/>
          <w:szCs w:val="21"/>
        </w:rPr>
        <w:t>、估值错误处理程序</w:t>
      </w:r>
    </w:p>
    <w:p w:rsidR="00A674F9" w:rsidRDefault="00CD789A">
      <w:pPr>
        <w:spacing w:line="360" w:lineRule="auto"/>
        <w:ind w:right="28" w:firstLineChars="200" w:firstLine="480"/>
        <w:rPr>
          <w:rFonts w:ascii="宋体" w:hAnsi="宋体"/>
          <w:sz w:val="24"/>
          <w:szCs w:val="21"/>
        </w:rPr>
      </w:pPr>
      <w:r>
        <w:rPr>
          <w:rFonts w:ascii="宋体" w:hAnsi="宋体" w:hint="eastAsia"/>
          <w:sz w:val="24"/>
          <w:szCs w:val="21"/>
        </w:rPr>
        <w:t>估值错误被发现后，有关的当事人应当及时进行处理，处理的程序如下：</w:t>
      </w:r>
    </w:p>
    <w:p w:rsidR="00A674F9" w:rsidRDefault="00CD789A">
      <w:pPr>
        <w:spacing w:line="360" w:lineRule="auto"/>
        <w:ind w:right="28" w:firstLineChars="200" w:firstLine="480"/>
        <w:rPr>
          <w:rFonts w:ascii="宋体" w:hAnsi="宋体"/>
          <w:sz w:val="24"/>
          <w:szCs w:val="21"/>
        </w:rPr>
      </w:pPr>
      <w:r>
        <w:rPr>
          <w:rFonts w:ascii="宋体" w:hAnsi="宋体" w:hint="eastAsia"/>
          <w:sz w:val="24"/>
          <w:szCs w:val="21"/>
        </w:rPr>
        <w:lastRenderedPageBreak/>
        <w:t>（</w:t>
      </w:r>
      <w:r>
        <w:rPr>
          <w:rFonts w:ascii="宋体" w:hAnsi="宋体" w:hint="eastAsia"/>
          <w:sz w:val="24"/>
          <w:szCs w:val="21"/>
        </w:rPr>
        <w:t>1</w:t>
      </w:r>
      <w:r>
        <w:rPr>
          <w:rFonts w:ascii="宋体" w:hAnsi="宋体" w:hint="eastAsia"/>
          <w:sz w:val="24"/>
          <w:szCs w:val="21"/>
        </w:rPr>
        <w:t>）查明估值错误发生的原因，列明所有的当事人，并根据估值错误发生的原因确定估值错误的责任方；</w:t>
      </w:r>
    </w:p>
    <w:p w:rsidR="00A674F9" w:rsidRDefault="00CD789A">
      <w:pPr>
        <w:spacing w:line="360" w:lineRule="auto"/>
        <w:ind w:right="28"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2</w:t>
      </w:r>
      <w:r>
        <w:rPr>
          <w:rFonts w:ascii="宋体" w:hAnsi="宋体" w:hint="eastAsia"/>
          <w:sz w:val="24"/>
          <w:szCs w:val="21"/>
        </w:rPr>
        <w:t>）根据估值错误处理原则或当事人协商的方法对因估值错误造成的损失进行评估；</w:t>
      </w:r>
    </w:p>
    <w:p w:rsidR="00A674F9" w:rsidRDefault="00CD789A">
      <w:pPr>
        <w:spacing w:line="360" w:lineRule="auto"/>
        <w:ind w:right="28"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3</w:t>
      </w:r>
      <w:r>
        <w:rPr>
          <w:rFonts w:ascii="宋体" w:hAnsi="宋体" w:hint="eastAsia"/>
          <w:sz w:val="24"/>
          <w:szCs w:val="21"/>
        </w:rPr>
        <w:t>）根据估值错误处理原则或当事人协商的方法由估值错误的责任方进行更正和赔偿损失；</w:t>
      </w:r>
    </w:p>
    <w:p w:rsidR="00A674F9" w:rsidRDefault="00CD789A">
      <w:pPr>
        <w:spacing w:line="360" w:lineRule="auto"/>
        <w:ind w:right="28"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4</w:t>
      </w:r>
      <w:r>
        <w:rPr>
          <w:rFonts w:ascii="宋体" w:hAnsi="宋体" w:hint="eastAsia"/>
          <w:sz w:val="24"/>
          <w:szCs w:val="21"/>
        </w:rPr>
        <w:t>）根据估值错误处理的方法，需要修改基金登记机构交易数据的，由基金登记机构进行更正，并</w:t>
      </w:r>
      <w:r>
        <w:rPr>
          <w:rFonts w:ascii="宋体" w:hAnsi="宋体" w:hint="eastAsia"/>
          <w:sz w:val="24"/>
          <w:szCs w:val="21"/>
        </w:rPr>
        <w:t>就估值错误的更正向有关当事人进行确认。</w:t>
      </w:r>
    </w:p>
    <w:p w:rsidR="00A674F9" w:rsidRDefault="00CD789A">
      <w:pPr>
        <w:spacing w:line="360" w:lineRule="auto"/>
        <w:ind w:right="28" w:firstLineChars="200" w:firstLine="480"/>
        <w:rPr>
          <w:rFonts w:ascii="宋体" w:hAnsi="宋体"/>
          <w:sz w:val="24"/>
          <w:szCs w:val="21"/>
        </w:rPr>
      </w:pPr>
      <w:r>
        <w:rPr>
          <w:rFonts w:ascii="宋体" w:hAnsi="宋体" w:hint="eastAsia"/>
          <w:sz w:val="24"/>
          <w:szCs w:val="21"/>
        </w:rPr>
        <w:t>4</w:t>
      </w:r>
      <w:r>
        <w:rPr>
          <w:rFonts w:ascii="宋体" w:hAnsi="宋体" w:hint="eastAsia"/>
          <w:sz w:val="24"/>
          <w:szCs w:val="21"/>
        </w:rPr>
        <w:t>、基金份额净值估值错误处理的方法如下：</w:t>
      </w:r>
    </w:p>
    <w:p w:rsidR="00A674F9" w:rsidRDefault="00CD789A">
      <w:pPr>
        <w:spacing w:line="360" w:lineRule="auto"/>
        <w:ind w:right="28"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1</w:t>
      </w:r>
      <w:r>
        <w:rPr>
          <w:rFonts w:ascii="宋体" w:hAnsi="宋体" w:hint="eastAsia"/>
          <w:sz w:val="24"/>
          <w:szCs w:val="21"/>
        </w:rPr>
        <w:t>）基金份额净值计算出现错误时，基金管理人应当立即予以纠正，通报基金托管人，并采取合理的措施防止损失进一步扩大。</w:t>
      </w:r>
    </w:p>
    <w:p w:rsidR="00A674F9" w:rsidRDefault="00CD789A">
      <w:pPr>
        <w:spacing w:line="360" w:lineRule="auto"/>
        <w:ind w:right="28"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2</w:t>
      </w:r>
      <w:r>
        <w:rPr>
          <w:rFonts w:ascii="宋体" w:hAnsi="宋体" w:hint="eastAsia"/>
          <w:sz w:val="24"/>
          <w:szCs w:val="21"/>
        </w:rPr>
        <w:t>）错误偏差达到基金份额净值的</w:t>
      </w:r>
      <w:r>
        <w:rPr>
          <w:rFonts w:ascii="宋体" w:hAnsi="宋体" w:hint="eastAsia"/>
          <w:sz w:val="24"/>
          <w:szCs w:val="21"/>
        </w:rPr>
        <w:t>0.25%</w:t>
      </w:r>
      <w:r>
        <w:rPr>
          <w:rFonts w:ascii="宋体" w:hAnsi="宋体" w:hint="eastAsia"/>
          <w:sz w:val="24"/>
          <w:szCs w:val="21"/>
        </w:rPr>
        <w:t>时，基金管理人应当通报基金托管人并报中国证监会备案；错误偏差达到基金份额净值的</w:t>
      </w:r>
      <w:r>
        <w:rPr>
          <w:rFonts w:ascii="宋体" w:hAnsi="宋体" w:hint="eastAsia"/>
          <w:sz w:val="24"/>
          <w:szCs w:val="21"/>
        </w:rPr>
        <w:t>0.5%</w:t>
      </w:r>
      <w:r>
        <w:rPr>
          <w:rFonts w:ascii="宋体" w:hAnsi="宋体" w:hint="eastAsia"/>
          <w:sz w:val="24"/>
          <w:szCs w:val="21"/>
        </w:rPr>
        <w:t>时，基金管理人应当公告。</w:t>
      </w:r>
    </w:p>
    <w:p w:rsidR="00A674F9" w:rsidRDefault="00CD789A">
      <w:pPr>
        <w:spacing w:line="360" w:lineRule="auto"/>
        <w:ind w:right="28"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3</w:t>
      </w:r>
      <w:r>
        <w:rPr>
          <w:rFonts w:ascii="宋体" w:hAnsi="宋体" w:hint="eastAsia"/>
          <w:sz w:val="24"/>
          <w:szCs w:val="21"/>
        </w:rPr>
        <w:t>）前述内容如法律法规或监管机关另有规定的，从其规定处理。</w:t>
      </w:r>
    </w:p>
    <w:p w:rsidR="00A674F9" w:rsidRDefault="00A674F9">
      <w:pPr>
        <w:spacing w:line="360" w:lineRule="auto"/>
        <w:ind w:firstLineChars="200" w:firstLine="480"/>
        <w:rPr>
          <w:rFonts w:ascii="宋体" w:hAnsi="宋体"/>
          <w:sz w:val="24"/>
        </w:rPr>
      </w:pPr>
    </w:p>
    <w:p w:rsidR="00A674F9" w:rsidRDefault="00CD789A">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94" w:name="_Toc22454459"/>
      <w:bookmarkStart w:id="95" w:name="_Toc48703910"/>
      <w:r>
        <w:rPr>
          <w:rFonts w:ascii="宋体" w:eastAsia="宋体" w:hAnsi="宋体" w:hint="eastAsia"/>
          <w:b w:val="0"/>
          <w:bCs w:val="0"/>
          <w:sz w:val="24"/>
          <w:szCs w:val="24"/>
        </w:rPr>
        <w:t>（四）暂停估值的情形</w:t>
      </w:r>
    </w:p>
    <w:p w:rsidR="00A674F9" w:rsidRDefault="00CD789A">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、基金投资所涉及的证券、期货交易市场遇法定节假日或因其他原因暂停营业时；</w:t>
      </w:r>
    </w:p>
    <w:p w:rsidR="00A674F9" w:rsidRDefault="00CD789A">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、因不可抗力致使基金管理人、基金托管人无法准确评估基金资产价值时；</w:t>
      </w:r>
    </w:p>
    <w:p w:rsidR="00A674F9" w:rsidRDefault="00CD789A">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、当前一估值日基金资产净值</w:t>
      </w:r>
      <w:r>
        <w:rPr>
          <w:rFonts w:ascii="宋体" w:hAnsi="宋体" w:hint="eastAsia"/>
          <w:sz w:val="24"/>
        </w:rPr>
        <w:t>50%</w:t>
      </w:r>
      <w:r>
        <w:rPr>
          <w:rFonts w:ascii="宋体" w:hAnsi="宋体" w:hint="eastAsia"/>
          <w:sz w:val="24"/>
        </w:rPr>
        <w:t>以上的资产出现无可参考的活跃市场价格且采用估值技术仍导致公允价值存在重大不确定性时，经与基金托管人协商确认后，基金管理人应当暂停基金估值；</w:t>
      </w:r>
    </w:p>
    <w:p w:rsidR="00A674F9" w:rsidRDefault="00CD789A">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、中国证监会和基金合同认定的其它情形。</w:t>
      </w:r>
    </w:p>
    <w:p w:rsidR="00A674F9" w:rsidRDefault="00CD789A">
      <w:pPr>
        <w:spacing w:line="360" w:lineRule="auto"/>
        <w:ind w:firstLineChars="200" w:firstLine="480"/>
        <w:rPr>
          <w:rFonts w:ascii="宋体" w:hAnsi="宋体"/>
          <w:sz w:val="24"/>
          <w:lang w:val="zh-CN"/>
        </w:rPr>
      </w:pPr>
      <w:r>
        <w:rPr>
          <w:rFonts w:ascii="宋体" w:hAnsi="宋体" w:hint="eastAsia"/>
          <w:sz w:val="24"/>
        </w:rPr>
        <w:t>（五）</w:t>
      </w:r>
      <w:r>
        <w:rPr>
          <w:rFonts w:ascii="宋体" w:hAnsi="宋体" w:hint="eastAsia"/>
          <w:sz w:val="24"/>
          <w:lang w:val="zh-CN"/>
        </w:rPr>
        <w:t>特殊情况的处理</w:t>
      </w:r>
    </w:p>
    <w:p w:rsidR="00A674F9" w:rsidRDefault="00CD789A">
      <w:pPr>
        <w:spacing w:line="360" w:lineRule="auto"/>
        <w:ind w:firstLineChars="200" w:firstLine="480"/>
        <w:rPr>
          <w:rFonts w:ascii="宋体" w:hAnsi="宋体"/>
          <w:sz w:val="24"/>
          <w:lang w:val="zh-CN"/>
        </w:rPr>
      </w:pPr>
      <w:r>
        <w:rPr>
          <w:rFonts w:ascii="宋体" w:hAnsi="宋体" w:hint="eastAsia"/>
          <w:sz w:val="24"/>
        </w:rPr>
        <w:t>1</w:t>
      </w:r>
      <w:r>
        <w:rPr>
          <w:rFonts w:ascii="宋体" w:hAnsi="宋体" w:hint="eastAsia"/>
          <w:sz w:val="24"/>
        </w:rPr>
        <w:t>、</w:t>
      </w:r>
      <w:r>
        <w:rPr>
          <w:rFonts w:ascii="宋体" w:hAnsi="宋体" w:hint="eastAsia"/>
          <w:sz w:val="24"/>
          <w:lang w:val="zh-CN"/>
        </w:rPr>
        <w:t>基金管理人或基金托管人按估值方法的第（</w:t>
      </w:r>
      <w:r>
        <w:rPr>
          <w:rFonts w:ascii="宋体" w:hAnsi="宋体" w:hint="eastAsia"/>
          <w:sz w:val="24"/>
          <w:lang w:val="zh-CN"/>
        </w:rPr>
        <w:t>4</w:t>
      </w:r>
      <w:r>
        <w:rPr>
          <w:rFonts w:ascii="宋体" w:hAnsi="宋体" w:hint="eastAsia"/>
          <w:sz w:val="24"/>
          <w:lang w:val="zh-CN"/>
        </w:rPr>
        <w:t>）项进行估值时，所造成的误差不作为基金资产估值错误处理；</w:t>
      </w:r>
    </w:p>
    <w:p w:rsidR="00A674F9" w:rsidRDefault="00CD789A">
      <w:pPr>
        <w:spacing w:line="360" w:lineRule="auto"/>
        <w:ind w:firstLineChars="200" w:firstLine="480"/>
        <w:rPr>
          <w:rFonts w:ascii="宋体" w:hAnsi="宋体"/>
          <w:sz w:val="24"/>
        </w:rPr>
      </w:pPr>
      <w:r>
        <w:rPr>
          <w:rFonts w:ascii="宋体" w:hAnsi="宋体" w:hint="eastAsia"/>
          <w:sz w:val="24"/>
          <w:lang w:val="zh-CN"/>
        </w:rPr>
        <w:t>2</w:t>
      </w:r>
      <w:r>
        <w:rPr>
          <w:rFonts w:ascii="宋体" w:hAnsi="宋体" w:hint="eastAsia"/>
          <w:sz w:val="24"/>
          <w:lang w:val="zh-CN"/>
        </w:rPr>
        <w:t>、由于不可抗力，或证券、期货交易所、登记机构及存款银行发送的数据错误，或国家会计政策变更、市场规则变更等非基金管理人与基金托管人原因，</w:t>
      </w:r>
      <w:r>
        <w:rPr>
          <w:rFonts w:ascii="宋体" w:hAnsi="宋体" w:hint="eastAsia"/>
          <w:sz w:val="24"/>
          <w:lang w:val="zh-CN"/>
        </w:rPr>
        <w:lastRenderedPageBreak/>
        <w:t>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A674F9" w:rsidRDefault="00CD789A">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（六）基金账册的建立</w:t>
      </w:r>
      <w:bookmarkEnd w:id="94"/>
      <w:bookmarkEnd w:id="95"/>
    </w:p>
    <w:p w:rsidR="00A674F9" w:rsidRDefault="00CD789A">
      <w:pPr>
        <w:spacing w:line="360" w:lineRule="auto"/>
        <w:ind w:firstLineChars="200" w:firstLine="480"/>
        <w:rPr>
          <w:rFonts w:ascii="宋体" w:hAnsi="宋体"/>
          <w:sz w:val="24"/>
        </w:rPr>
      </w:pPr>
      <w:r>
        <w:rPr>
          <w:rFonts w:ascii="宋体" w:hAnsi="宋体" w:hint="eastAsia"/>
          <w:sz w:val="24"/>
        </w:rPr>
        <w:t>基金管理人和基金托管人在《基金合同》生效后，应按照相关各方约定的同一记账方法和会计处理原则，分别独立地设置、登录和保管本基金的全套账</w:t>
      </w:r>
      <w:r>
        <w:rPr>
          <w:rFonts w:ascii="宋体" w:hAnsi="宋体" w:hint="eastAsia"/>
          <w:sz w:val="24"/>
        </w:rPr>
        <w:t>册，对相关各方各自的账册定期进行核对，互相监督，以保证基金资产的安全。若双方对会计处理方法存在分歧，应以基金管理人的处理方法为准。</w:t>
      </w:r>
    </w:p>
    <w:p w:rsidR="00A674F9" w:rsidRDefault="00CD789A">
      <w:pPr>
        <w:spacing w:line="360" w:lineRule="auto"/>
        <w:ind w:firstLineChars="200" w:firstLine="480"/>
        <w:rPr>
          <w:rFonts w:ascii="宋体" w:hAnsi="宋体"/>
          <w:sz w:val="24"/>
        </w:rPr>
      </w:pPr>
      <w:r>
        <w:rPr>
          <w:rFonts w:ascii="宋体" w:hAnsi="宋体" w:hint="eastAsia"/>
          <w:sz w:val="24"/>
        </w:rPr>
        <w:t>经对账发现相关各方的账目存在不符的，基金管理人和基金托管人必须及时查明原因并纠正，保证相关各方平行登录的账册记录完全相符。若当日核对不符，暂时无法查找到错账的原因而影响到基金</w:t>
      </w:r>
      <w:r>
        <w:rPr>
          <w:rFonts w:ascii="宋体" w:hAnsi="宋体" w:hint="eastAsia"/>
          <w:sz w:val="24"/>
        </w:rPr>
        <w:t>净值的计算和公告的，以基金管理人的账册为准。</w:t>
      </w:r>
    </w:p>
    <w:p w:rsidR="00A674F9" w:rsidRDefault="00CD789A">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96" w:name="_Toc22454460"/>
      <w:bookmarkStart w:id="97" w:name="_Toc48703911"/>
      <w:r>
        <w:rPr>
          <w:rFonts w:ascii="宋体" w:eastAsia="宋体" w:hAnsi="宋体" w:hint="eastAsia"/>
          <w:b w:val="0"/>
          <w:bCs w:val="0"/>
          <w:sz w:val="24"/>
          <w:szCs w:val="24"/>
        </w:rPr>
        <w:t>（七）基金定期报告的编制和复核</w:t>
      </w:r>
      <w:bookmarkStart w:id="98" w:name="_Hlt89687912"/>
      <w:bookmarkEnd w:id="96"/>
      <w:bookmarkEnd w:id="97"/>
      <w:bookmarkEnd w:id="98"/>
    </w:p>
    <w:p w:rsidR="00A674F9" w:rsidRDefault="00CD789A">
      <w:pPr>
        <w:spacing w:line="360" w:lineRule="auto"/>
        <w:ind w:firstLineChars="200" w:firstLine="480"/>
        <w:rPr>
          <w:rFonts w:ascii="宋体" w:hAnsi="宋体"/>
          <w:sz w:val="24"/>
        </w:rPr>
      </w:pPr>
      <w:r>
        <w:rPr>
          <w:rFonts w:ascii="宋体" w:hAnsi="宋体" w:hint="eastAsia"/>
          <w:sz w:val="24"/>
        </w:rPr>
        <w:t>基金财务报表由基金管理人和基金托管人每月分别独立编制。月度报表的编制，应于每月终了后</w:t>
      </w:r>
      <w:r>
        <w:rPr>
          <w:rFonts w:ascii="宋体" w:hAnsi="宋体"/>
          <w:sz w:val="24"/>
        </w:rPr>
        <w:t>5</w:t>
      </w:r>
      <w:r>
        <w:rPr>
          <w:rFonts w:ascii="宋体" w:hAnsi="宋体" w:hint="eastAsia"/>
          <w:sz w:val="24"/>
        </w:rPr>
        <w:t>个工作日内完成。</w:t>
      </w:r>
    </w:p>
    <w:p w:rsidR="00A674F9" w:rsidRDefault="00CD789A">
      <w:pPr>
        <w:spacing w:line="360" w:lineRule="auto"/>
        <w:ind w:firstLineChars="200" w:firstLine="480"/>
        <w:rPr>
          <w:rFonts w:ascii="宋体" w:hAnsi="宋体"/>
          <w:sz w:val="24"/>
        </w:rPr>
      </w:pPr>
      <w:r>
        <w:rPr>
          <w:rFonts w:ascii="宋体" w:hAnsi="宋体" w:hint="eastAsia"/>
          <w:sz w:val="24"/>
        </w:rPr>
        <w:t>基金管理人在每个季度结束之日起</w:t>
      </w:r>
      <w:r>
        <w:rPr>
          <w:rFonts w:ascii="宋体" w:hAnsi="宋体" w:hint="eastAsia"/>
          <w:sz w:val="24"/>
        </w:rPr>
        <w:t>15</w:t>
      </w:r>
      <w:r>
        <w:rPr>
          <w:rFonts w:ascii="宋体" w:hAnsi="宋体" w:hint="eastAsia"/>
          <w:sz w:val="24"/>
        </w:rPr>
        <w:t>个工作日内完成季度报告编制并公告；在会计年度半年终了后</w:t>
      </w:r>
      <w:r>
        <w:rPr>
          <w:rFonts w:ascii="宋体" w:hAnsi="宋体" w:hint="eastAsia"/>
          <w:sz w:val="24"/>
        </w:rPr>
        <w:t>两个月</w:t>
      </w:r>
      <w:r>
        <w:rPr>
          <w:rFonts w:ascii="宋体" w:hAnsi="宋体" w:hint="eastAsia"/>
          <w:sz w:val="24"/>
        </w:rPr>
        <w:t>内完成</w:t>
      </w:r>
      <w:r>
        <w:rPr>
          <w:rFonts w:ascii="宋体" w:hAnsi="宋体" w:hint="eastAsia"/>
          <w:sz w:val="24"/>
        </w:rPr>
        <w:t>中期</w:t>
      </w:r>
      <w:r>
        <w:rPr>
          <w:rFonts w:ascii="宋体" w:hAnsi="宋体" w:hint="eastAsia"/>
          <w:sz w:val="24"/>
        </w:rPr>
        <w:t>报告编制并公告；在会计年度结束后</w:t>
      </w:r>
      <w:r>
        <w:rPr>
          <w:rFonts w:ascii="宋体" w:hAnsi="宋体" w:hint="eastAsia"/>
          <w:sz w:val="24"/>
        </w:rPr>
        <w:t>三个月</w:t>
      </w:r>
      <w:r>
        <w:rPr>
          <w:rFonts w:ascii="宋体" w:hAnsi="宋体" w:hint="eastAsia"/>
          <w:sz w:val="24"/>
        </w:rPr>
        <w:t>内完成年度报告编制并公告。</w:t>
      </w:r>
    </w:p>
    <w:p w:rsidR="00A674F9" w:rsidRDefault="00CD789A">
      <w:pPr>
        <w:spacing w:line="360" w:lineRule="auto"/>
        <w:ind w:firstLineChars="200" w:firstLine="480"/>
        <w:rPr>
          <w:rFonts w:ascii="宋体" w:hAnsi="宋体"/>
          <w:sz w:val="24"/>
        </w:rPr>
      </w:pPr>
      <w:r>
        <w:rPr>
          <w:rFonts w:ascii="宋体" w:hAnsi="宋体" w:hint="eastAsia"/>
          <w:sz w:val="24"/>
        </w:rPr>
        <w:t>基金管理人在</w:t>
      </w:r>
      <w:r>
        <w:rPr>
          <w:rFonts w:ascii="宋体" w:hAnsi="宋体" w:hint="eastAsia"/>
          <w:sz w:val="24"/>
        </w:rPr>
        <w:t>5</w:t>
      </w:r>
      <w:r>
        <w:rPr>
          <w:rFonts w:ascii="宋体" w:hAnsi="宋体" w:hint="eastAsia"/>
          <w:sz w:val="24"/>
        </w:rPr>
        <w:t>个工作日内完成月度报告，在月度报告完成当日，对报告加盖公章后，以加密传真方式将有关报告提供基金托管人复核；基金托管人在</w:t>
      </w:r>
      <w:r>
        <w:rPr>
          <w:rFonts w:ascii="宋体" w:hAnsi="宋体" w:hint="eastAsia"/>
          <w:sz w:val="24"/>
        </w:rPr>
        <w:t>3</w:t>
      </w:r>
      <w:r>
        <w:rPr>
          <w:rFonts w:ascii="宋体" w:hAnsi="宋体" w:hint="eastAsia"/>
          <w:sz w:val="24"/>
        </w:rPr>
        <w:t>个工作日内进行复核，并将复核结果及时书面通知基金管理人</w:t>
      </w:r>
      <w:r>
        <w:rPr>
          <w:rFonts w:ascii="宋体" w:hAnsi="宋体" w:hint="eastAsia"/>
          <w:sz w:val="24"/>
        </w:rPr>
        <w:t>。基金管理人在</w:t>
      </w:r>
      <w:r>
        <w:rPr>
          <w:rFonts w:ascii="宋体" w:hAnsi="宋体" w:hint="eastAsia"/>
          <w:sz w:val="24"/>
        </w:rPr>
        <w:t>7</w:t>
      </w:r>
      <w:r>
        <w:rPr>
          <w:rFonts w:ascii="宋体" w:hAnsi="宋体" w:hint="eastAsia"/>
          <w:sz w:val="24"/>
        </w:rPr>
        <w:t>个工作日内完成季度报告，在季度报告完成当日，将有关报告提供基金托管人复核，基金托管人在收到后</w:t>
      </w:r>
      <w:r>
        <w:rPr>
          <w:rFonts w:ascii="宋体" w:hAnsi="宋体" w:hint="eastAsia"/>
          <w:sz w:val="24"/>
        </w:rPr>
        <w:t>7</w:t>
      </w:r>
      <w:r>
        <w:rPr>
          <w:rFonts w:ascii="宋体" w:hAnsi="宋体" w:hint="eastAsia"/>
          <w:sz w:val="24"/>
        </w:rPr>
        <w:t>个工作日内进行复核，并将复核结果书面通知基金管理人。基金管理人在</w:t>
      </w:r>
      <w:r>
        <w:rPr>
          <w:rFonts w:ascii="宋体" w:hAnsi="宋体" w:hint="eastAsia"/>
          <w:sz w:val="24"/>
        </w:rPr>
        <w:t>30</w:t>
      </w:r>
      <w:r>
        <w:rPr>
          <w:rFonts w:ascii="宋体" w:hAnsi="宋体" w:hint="eastAsia"/>
          <w:sz w:val="24"/>
        </w:rPr>
        <w:t>日内完成</w:t>
      </w:r>
      <w:r>
        <w:rPr>
          <w:rFonts w:ascii="宋体" w:hAnsi="宋体" w:hint="eastAsia"/>
          <w:sz w:val="24"/>
        </w:rPr>
        <w:t>中期</w:t>
      </w:r>
      <w:r>
        <w:rPr>
          <w:rFonts w:ascii="宋体" w:hAnsi="宋体" w:hint="eastAsia"/>
          <w:sz w:val="24"/>
        </w:rPr>
        <w:t>报告，在</w:t>
      </w:r>
      <w:r>
        <w:rPr>
          <w:rFonts w:ascii="宋体" w:hAnsi="宋体" w:hint="eastAsia"/>
          <w:sz w:val="24"/>
        </w:rPr>
        <w:t>中期</w:t>
      </w:r>
      <w:r>
        <w:rPr>
          <w:rFonts w:ascii="宋体" w:hAnsi="宋体" w:hint="eastAsia"/>
          <w:sz w:val="24"/>
        </w:rPr>
        <w:t>报告</w:t>
      </w:r>
      <w:r>
        <w:rPr>
          <w:rFonts w:ascii="宋体" w:hAnsi="宋体" w:hint="eastAsia"/>
          <w:sz w:val="24"/>
        </w:rPr>
        <w:t>完成当日，将有关报告提供基金托管人复核，基金托管人在收到后</w:t>
      </w:r>
      <w:r>
        <w:rPr>
          <w:rFonts w:ascii="宋体" w:hAnsi="宋体" w:hint="eastAsia"/>
          <w:sz w:val="24"/>
        </w:rPr>
        <w:t>30</w:t>
      </w:r>
      <w:r>
        <w:rPr>
          <w:rFonts w:ascii="宋体" w:hAnsi="宋体" w:hint="eastAsia"/>
          <w:sz w:val="24"/>
        </w:rPr>
        <w:t>日内进行复核，并将复核结果书面通知基金管理人。基金管理人在</w:t>
      </w:r>
      <w:r>
        <w:rPr>
          <w:rFonts w:ascii="宋体" w:hAnsi="宋体" w:hint="eastAsia"/>
          <w:sz w:val="24"/>
        </w:rPr>
        <w:t>45</w:t>
      </w:r>
      <w:r>
        <w:rPr>
          <w:rFonts w:ascii="宋体" w:hAnsi="宋体" w:hint="eastAsia"/>
          <w:sz w:val="24"/>
        </w:rPr>
        <w:t>日内完成年度报告，在年度报告完成当日，将有关报告提供基金托管人复核，基金托管人在收到后</w:t>
      </w:r>
      <w:r>
        <w:rPr>
          <w:rFonts w:ascii="宋体" w:hAnsi="宋体" w:hint="eastAsia"/>
          <w:sz w:val="24"/>
        </w:rPr>
        <w:t>45</w:t>
      </w:r>
      <w:r>
        <w:rPr>
          <w:rFonts w:ascii="宋体" w:hAnsi="宋体" w:hint="eastAsia"/>
          <w:sz w:val="24"/>
        </w:rPr>
        <w:t>日内复核，并将复核结果书面通知基金管理人。</w:t>
      </w:r>
    </w:p>
    <w:p w:rsidR="00A674F9" w:rsidRDefault="00CD789A">
      <w:pPr>
        <w:spacing w:line="360" w:lineRule="auto"/>
        <w:ind w:firstLineChars="200" w:firstLine="480"/>
        <w:rPr>
          <w:rFonts w:ascii="宋体" w:hAnsi="宋体"/>
          <w:sz w:val="24"/>
        </w:rPr>
      </w:pPr>
      <w:r>
        <w:rPr>
          <w:rFonts w:ascii="宋体" w:hAnsi="宋体" w:hint="eastAsia"/>
          <w:sz w:val="24"/>
        </w:rPr>
        <w:lastRenderedPageBreak/>
        <w:t>基金托管人在复核过程中，发现相关各方</w:t>
      </w:r>
      <w:r>
        <w:rPr>
          <w:rFonts w:ascii="宋体" w:hAnsi="宋体" w:hint="eastAsia"/>
          <w:sz w:val="24"/>
        </w:rPr>
        <w:t>的报表存在不符时，基金管理人和基金托管人应共同查明原因，进行调整，调整以相关各方认可的账务处理方式为准。核对无误后，基金托管人在基金管理人提供的报告上加盖业务印鉴</w:t>
      </w:r>
      <w:r>
        <w:rPr>
          <w:rFonts w:ascii="宋体" w:hAnsi="宋体" w:hint="eastAsia"/>
          <w:sz w:val="24"/>
          <w:szCs w:val="21"/>
        </w:rPr>
        <w:t>或者出具加盖托管业务部门公章的复核意见书</w:t>
      </w:r>
      <w:r>
        <w:rPr>
          <w:rFonts w:ascii="宋体" w:hAnsi="宋体" w:hint="eastAsia"/>
          <w:sz w:val="24"/>
        </w:rPr>
        <w:t>，相关各方各自留存一份。</w:t>
      </w:r>
      <w:r>
        <w:rPr>
          <w:rFonts w:ascii="宋体" w:hAnsi="宋体" w:hint="eastAsia"/>
          <w:kern w:val="44"/>
          <w:sz w:val="24"/>
        </w:rPr>
        <w:t>如果基金管理人与基金托管人不能于应当发布公告之日之前就相关报表达成一致，基金管理人有权按照其编制的报表对外发布公告，基金托管人有权就相关情况报证监会备案。</w:t>
      </w:r>
    </w:p>
    <w:p w:rsidR="00A674F9" w:rsidRDefault="00CD789A">
      <w:pPr>
        <w:spacing w:line="360" w:lineRule="auto"/>
        <w:ind w:firstLineChars="200" w:firstLine="480"/>
        <w:rPr>
          <w:rFonts w:ascii="宋体" w:hAnsi="宋体"/>
          <w:sz w:val="24"/>
        </w:rPr>
      </w:pPr>
      <w:r>
        <w:rPr>
          <w:rFonts w:ascii="宋体" w:hAnsi="宋体" w:hint="eastAsia"/>
          <w:sz w:val="24"/>
        </w:rPr>
        <w:t>基金托管人在对财务会计报告、</w:t>
      </w:r>
      <w:r>
        <w:rPr>
          <w:rFonts w:ascii="宋体" w:hAnsi="宋体" w:hint="eastAsia"/>
          <w:sz w:val="24"/>
        </w:rPr>
        <w:t>中期</w:t>
      </w:r>
      <w:r>
        <w:rPr>
          <w:rFonts w:ascii="宋体" w:hAnsi="宋体" w:hint="eastAsia"/>
          <w:sz w:val="24"/>
        </w:rPr>
        <w:t>报告或年度报告复核完毕后，需盖章确认或出具相应的复核确认书，以备有权机构对相关文件审核时提示。</w:t>
      </w:r>
      <w:bookmarkStart w:id="99" w:name="_Hlt89689505"/>
      <w:bookmarkStart w:id="100" w:name="_Toc48703912"/>
      <w:bookmarkStart w:id="101" w:name="_Toc22454461"/>
      <w:bookmarkStart w:id="102" w:name="_Toc523830000"/>
      <w:bookmarkStart w:id="103" w:name="_Toc466788859"/>
      <w:bookmarkEnd w:id="99"/>
    </w:p>
    <w:p w:rsidR="00A674F9" w:rsidRDefault="00CD789A">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04" w:name="_Toc124749944"/>
      <w:bookmarkStart w:id="105" w:name="_Toc140002344"/>
      <w:bookmarkStart w:id="106" w:name="_Toc125361081"/>
      <w:bookmarkStart w:id="107" w:name="_Toc123626175"/>
      <w:bookmarkStart w:id="108" w:name="_Toc124749233"/>
      <w:bookmarkEnd w:id="100"/>
      <w:bookmarkEnd w:id="101"/>
      <w:bookmarkEnd w:id="102"/>
      <w:bookmarkEnd w:id="103"/>
      <w:r>
        <w:rPr>
          <w:rFonts w:ascii="宋体" w:hAnsi="宋体" w:cs="Arial" w:hint="eastAsia"/>
          <w:sz w:val="30"/>
        </w:rPr>
        <w:t>基金收益分配</w:t>
      </w:r>
      <w:bookmarkEnd w:id="104"/>
      <w:bookmarkEnd w:id="105"/>
      <w:bookmarkEnd w:id="106"/>
      <w:bookmarkEnd w:id="107"/>
      <w:bookmarkEnd w:id="108"/>
    </w:p>
    <w:p w:rsidR="00A674F9" w:rsidRDefault="00CD789A">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cs="Arial"/>
          <w:kern w:val="0"/>
          <w:sz w:val="24"/>
          <w:szCs w:val="24"/>
        </w:rPr>
      </w:pPr>
      <w:bookmarkStart w:id="109" w:name="_Toc22454462"/>
      <w:bookmarkStart w:id="110" w:name="_Toc48703913"/>
      <w:r>
        <w:rPr>
          <w:rFonts w:ascii="宋体" w:eastAsia="宋体" w:hAnsi="宋体" w:hint="eastAsia"/>
          <w:b w:val="0"/>
          <w:bCs w:val="0"/>
          <w:sz w:val="24"/>
          <w:szCs w:val="24"/>
        </w:rPr>
        <w:t>（一）基金收益分配</w:t>
      </w:r>
      <w:bookmarkEnd w:id="109"/>
      <w:bookmarkEnd w:id="110"/>
      <w:r>
        <w:rPr>
          <w:rFonts w:ascii="宋体" w:eastAsia="宋体" w:hAnsi="宋体" w:hint="eastAsia"/>
          <w:b w:val="0"/>
          <w:bCs w:val="0"/>
          <w:sz w:val="24"/>
          <w:szCs w:val="24"/>
        </w:rPr>
        <w:t>的原则</w:t>
      </w:r>
    </w:p>
    <w:p w:rsidR="00A674F9" w:rsidRDefault="00CD789A">
      <w:pPr>
        <w:spacing w:line="360" w:lineRule="auto"/>
        <w:ind w:firstLineChars="225" w:firstLine="540"/>
        <w:rPr>
          <w:rFonts w:ascii="宋体" w:hAnsi="宋体"/>
          <w:sz w:val="24"/>
        </w:rPr>
      </w:pPr>
      <w:r>
        <w:rPr>
          <w:rFonts w:ascii="宋体" w:hAnsi="宋体" w:hint="eastAsia"/>
          <w:sz w:val="24"/>
        </w:rPr>
        <w:t>1</w:t>
      </w:r>
      <w:r>
        <w:rPr>
          <w:rFonts w:ascii="宋体" w:hAnsi="宋体" w:hint="eastAsia"/>
          <w:sz w:val="24"/>
        </w:rPr>
        <w:t>、在符合有关基金分红条件的前提下，本基金每年收益分配次数最多为</w:t>
      </w:r>
      <w:r>
        <w:rPr>
          <w:rFonts w:ascii="宋体" w:hAnsi="宋体" w:hint="eastAsia"/>
          <w:sz w:val="24"/>
        </w:rPr>
        <w:t>12</w:t>
      </w:r>
      <w:r>
        <w:rPr>
          <w:rFonts w:ascii="宋体" w:hAnsi="宋体" w:hint="eastAsia"/>
          <w:sz w:val="24"/>
        </w:rPr>
        <w:t>次，每次收益分配比例不得低于该次可供分配利润的</w:t>
      </w:r>
      <w:r>
        <w:rPr>
          <w:rFonts w:ascii="宋体" w:hAnsi="宋体" w:hint="eastAsia"/>
          <w:sz w:val="24"/>
        </w:rPr>
        <w:t>25%</w:t>
      </w:r>
      <w:r>
        <w:rPr>
          <w:rFonts w:ascii="宋体" w:hAnsi="宋体" w:hint="eastAsia"/>
          <w:sz w:val="24"/>
        </w:rPr>
        <w:t>，若《基金合同》生效不满</w:t>
      </w:r>
      <w:r>
        <w:rPr>
          <w:rFonts w:ascii="宋体" w:hAnsi="宋体" w:hint="eastAsia"/>
          <w:sz w:val="24"/>
        </w:rPr>
        <w:t>3</w:t>
      </w:r>
      <w:r>
        <w:rPr>
          <w:rFonts w:ascii="宋体" w:hAnsi="宋体" w:hint="eastAsia"/>
          <w:sz w:val="24"/>
        </w:rPr>
        <w:t>个月可不进行收益分配；</w:t>
      </w:r>
    </w:p>
    <w:p w:rsidR="00A674F9" w:rsidRDefault="00CD789A">
      <w:pPr>
        <w:spacing w:line="360" w:lineRule="auto"/>
        <w:ind w:firstLineChars="225" w:firstLine="540"/>
        <w:rPr>
          <w:rFonts w:ascii="宋体" w:hAnsi="宋体"/>
          <w:sz w:val="24"/>
        </w:rPr>
      </w:pPr>
      <w:r>
        <w:rPr>
          <w:rFonts w:ascii="宋体" w:hAnsi="宋体" w:hint="eastAsia"/>
          <w:sz w:val="24"/>
        </w:rPr>
        <w:t>2</w:t>
      </w:r>
      <w:r>
        <w:rPr>
          <w:rFonts w:ascii="宋体" w:hAnsi="宋体" w:hint="eastAsia"/>
          <w:sz w:val="24"/>
        </w:rPr>
        <w:t>、本基金收益分配方式分两种：现金分红与红利再投资，投资者可选择现金红利或将现金红利自动转为基金份额进行再投资；若投资者不选择，本基金默认的收益分配方式是现金分红；</w:t>
      </w:r>
    </w:p>
    <w:p w:rsidR="00A674F9" w:rsidRDefault="00CD789A">
      <w:pPr>
        <w:spacing w:line="360" w:lineRule="auto"/>
        <w:ind w:firstLineChars="225" w:firstLine="540"/>
        <w:rPr>
          <w:rFonts w:ascii="宋体" w:hAnsi="宋体"/>
          <w:sz w:val="24"/>
        </w:rPr>
      </w:pPr>
      <w:r>
        <w:rPr>
          <w:rFonts w:ascii="宋体" w:hAnsi="宋体" w:hint="eastAsia"/>
          <w:sz w:val="24"/>
        </w:rPr>
        <w:t>3</w:t>
      </w:r>
      <w:r>
        <w:rPr>
          <w:rFonts w:ascii="宋体" w:hAnsi="宋体" w:hint="eastAsia"/>
          <w:sz w:val="24"/>
        </w:rPr>
        <w:t>、基金收益分配后基</w:t>
      </w:r>
      <w:r>
        <w:rPr>
          <w:rFonts w:ascii="宋体" w:hAnsi="宋体" w:hint="eastAsia"/>
          <w:sz w:val="24"/>
        </w:rPr>
        <w:t>金份额净值不能低于面值；即基金收益分配基准日的基金份额净值减去每单位基金份额收益分配金额后不能低于面值。</w:t>
      </w:r>
    </w:p>
    <w:p w:rsidR="00A674F9" w:rsidRDefault="00CD789A">
      <w:pPr>
        <w:spacing w:line="360" w:lineRule="auto"/>
        <w:ind w:firstLineChars="225" w:firstLine="540"/>
        <w:rPr>
          <w:rFonts w:ascii="宋体" w:hAnsi="宋体"/>
          <w:sz w:val="24"/>
        </w:rPr>
      </w:pPr>
      <w:r>
        <w:rPr>
          <w:rFonts w:ascii="宋体" w:hAnsi="宋体" w:hint="eastAsia"/>
          <w:sz w:val="24"/>
        </w:rPr>
        <w:t>4</w:t>
      </w:r>
      <w:r>
        <w:rPr>
          <w:rFonts w:ascii="宋体" w:hAnsi="宋体" w:hint="eastAsia"/>
          <w:sz w:val="24"/>
        </w:rPr>
        <w:t>、每一基金份额享有同等分配权；</w:t>
      </w:r>
    </w:p>
    <w:p w:rsidR="00A674F9" w:rsidRDefault="00CD789A">
      <w:pPr>
        <w:spacing w:line="360" w:lineRule="auto"/>
        <w:ind w:firstLineChars="200" w:firstLine="480"/>
        <w:rPr>
          <w:rFonts w:ascii="宋体" w:hAnsi="宋体"/>
          <w:sz w:val="24"/>
        </w:rPr>
      </w:pPr>
      <w:r>
        <w:rPr>
          <w:rFonts w:ascii="宋体" w:hAnsi="宋体" w:hint="eastAsia"/>
          <w:sz w:val="24"/>
        </w:rPr>
        <w:t>5</w:t>
      </w:r>
      <w:r>
        <w:rPr>
          <w:rFonts w:ascii="宋体" w:hAnsi="宋体" w:hint="eastAsia"/>
          <w:sz w:val="24"/>
        </w:rPr>
        <w:t>、法律法规或监管机关另有规定的，从其规定。</w:t>
      </w:r>
      <w:bookmarkStart w:id="111" w:name="_Hlt80958353"/>
      <w:bookmarkEnd w:id="111"/>
    </w:p>
    <w:p w:rsidR="00A674F9" w:rsidRDefault="00CD789A">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（二）基金收益分配方案的制定和实施程序</w:t>
      </w:r>
    </w:p>
    <w:p w:rsidR="00A674F9" w:rsidRDefault="00CD789A">
      <w:pPr>
        <w:spacing w:line="360" w:lineRule="auto"/>
        <w:ind w:right="28" w:firstLineChars="200" w:firstLine="480"/>
        <w:rPr>
          <w:rFonts w:ascii="宋体" w:hAnsi="宋体"/>
          <w:sz w:val="24"/>
        </w:rPr>
      </w:pPr>
      <w:r>
        <w:rPr>
          <w:rFonts w:ascii="宋体" w:hAnsi="宋体" w:hint="eastAsia"/>
          <w:sz w:val="24"/>
          <w:szCs w:val="21"/>
        </w:rPr>
        <w:t>基金收益分配方案由</w:t>
      </w:r>
      <w:r>
        <w:rPr>
          <w:rFonts w:ascii="宋体" w:hAnsi="宋体" w:hint="eastAsia"/>
          <w:sz w:val="24"/>
        </w:rPr>
        <w:t>基金管理人拟定，并由基金托管人复核。</w:t>
      </w:r>
    </w:p>
    <w:p w:rsidR="00A674F9" w:rsidRDefault="00CD789A">
      <w:pPr>
        <w:spacing w:line="360" w:lineRule="auto"/>
        <w:ind w:firstLineChars="200" w:firstLine="480"/>
        <w:rPr>
          <w:rFonts w:ascii="宋体" w:hAnsi="宋体"/>
          <w:sz w:val="24"/>
          <w:szCs w:val="21"/>
        </w:rPr>
      </w:pPr>
      <w:r>
        <w:rPr>
          <w:rFonts w:ascii="宋体" w:hAnsi="宋体" w:hint="eastAsia"/>
          <w:sz w:val="24"/>
          <w:szCs w:val="21"/>
        </w:rPr>
        <w:t>基金收益分配方案确定后，由基金管理人在</w:t>
      </w:r>
      <w:r>
        <w:rPr>
          <w:rFonts w:ascii="宋体" w:hAnsi="宋体" w:hint="eastAsia"/>
          <w:sz w:val="24"/>
          <w:szCs w:val="21"/>
        </w:rPr>
        <w:t>2</w:t>
      </w:r>
      <w:r>
        <w:rPr>
          <w:rFonts w:ascii="宋体" w:hAnsi="宋体" w:hint="eastAsia"/>
          <w:sz w:val="24"/>
        </w:rPr>
        <w:t>日内</w:t>
      </w:r>
      <w:r>
        <w:rPr>
          <w:rFonts w:ascii="宋体" w:hAnsi="宋体" w:hint="eastAsia"/>
          <w:sz w:val="24"/>
          <w:szCs w:val="21"/>
        </w:rPr>
        <w:t>在</w:t>
      </w:r>
      <w:r>
        <w:rPr>
          <w:rFonts w:ascii="宋体" w:hAnsi="宋体" w:hint="eastAsia"/>
          <w:sz w:val="24"/>
        </w:rPr>
        <w:t>指定媒介</w:t>
      </w:r>
      <w:r>
        <w:rPr>
          <w:rFonts w:ascii="宋体" w:hAnsi="宋体" w:hint="eastAsia"/>
          <w:sz w:val="24"/>
          <w:szCs w:val="21"/>
        </w:rPr>
        <w:t>公告</w:t>
      </w:r>
      <w:r>
        <w:rPr>
          <w:rFonts w:ascii="宋体" w:hAnsi="宋体" w:hint="eastAsia"/>
          <w:sz w:val="24"/>
          <w:szCs w:val="21"/>
        </w:rPr>
        <w:t>。</w:t>
      </w:r>
    </w:p>
    <w:p w:rsidR="00A674F9" w:rsidRDefault="00CD789A">
      <w:pPr>
        <w:spacing w:line="360" w:lineRule="auto"/>
        <w:ind w:firstLineChars="200" w:firstLine="480"/>
        <w:rPr>
          <w:rFonts w:ascii="宋体" w:hAnsi="宋体"/>
          <w:sz w:val="24"/>
          <w:szCs w:val="21"/>
        </w:rPr>
      </w:pPr>
      <w:r>
        <w:rPr>
          <w:rFonts w:ascii="宋体" w:hAnsi="宋体" w:hint="eastAsia"/>
          <w:sz w:val="24"/>
        </w:rPr>
        <w:t>基金红利发放日距离收益分配基准日（即可供分配利润计算截止日）的时间不得超过</w:t>
      </w:r>
      <w:r>
        <w:rPr>
          <w:rFonts w:ascii="宋体" w:hAnsi="宋体" w:hint="eastAsia"/>
          <w:sz w:val="24"/>
        </w:rPr>
        <w:t>15</w:t>
      </w:r>
      <w:r>
        <w:rPr>
          <w:rFonts w:ascii="宋体" w:hAnsi="宋体" w:hint="eastAsia"/>
          <w:sz w:val="24"/>
        </w:rPr>
        <w:t>个工作日。</w:t>
      </w:r>
    </w:p>
    <w:p w:rsidR="00A674F9" w:rsidRDefault="00CD789A">
      <w:pPr>
        <w:spacing w:line="360" w:lineRule="auto"/>
        <w:ind w:firstLineChars="200" w:firstLine="480"/>
        <w:rPr>
          <w:rFonts w:ascii="宋体" w:hAnsi="宋体"/>
          <w:sz w:val="24"/>
        </w:rPr>
      </w:pPr>
      <w:r>
        <w:rPr>
          <w:rFonts w:ascii="宋体" w:hAnsi="宋体" w:hint="eastAsia"/>
          <w:sz w:val="24"/>
          <w:szCs w:val="21"/>
        </w:rPr>
        <w:t>基金管理人向基金托管人下达收益分配的付款指令，基金托管人按指令将收益分配的全部资金划入基金管理人的指定账户。</w:t>
      </w:r>
    </w:p>
    <w:p w:rsidR="00A674F9" w:rsidRDefault="00CD789A">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12" w:name="_Toc123626176"/>
      <w:bookmarkStart w:id="113" w:name="_Toc523830002"/>
      <w:bookmarkStart w:id="114" w:name="_Toc125361082"/>
      <w:bookmarkStart w:id="115" w:name="_Toc124749234"/>
      <w:bookmarkStart w:id="116" w:name="_Toc466788861"/>
      <w:bookmarkStart w:id="117" w:name="_Toc140002345"/>
      <w:bookmarkStart w:id="118" w:name="_Toc48703916"/>
      <w:bookmarkStart w:id="119" w:name="_Toc124749945"/>
      <w:bookmarkStart w:id="120" w:name="_Toc22454465"/>
      <w:r>
        <w:rPr>
          <w:rFonts w:ascii="宋体" w:hAnsi="宋体" w:cs="Arial" w:hint="eastAsia"/>
          <w:sz w:val="30"/>
        </w:rPr>
        <w:lastRenderedPageBreak/>
        <w:t>信息披露</w:t>
      </w:r>
      <w:bookmarkStart w:id="121" w:name="_Hlt89687670"/>
      <w:bookmarkEnd w:id="112"/>
      <w:bookmarkEnd w:id="113"/>
      <w:bookmarkEnd w:id="114"/>
      <w:bookmarkEnd w:id="115"/>
      <w:bookmarkEnd w:id="116"/>
      <w:bookmarkEnd w:id="117"/>
      <w:bookmarkEnd w:id="118"/>
      <w:bookmarkEnd w:id="119"/>
      <w:bookmarkEnd w:id="120"/>
      <w:bookmarkEnd w:id="121"/>
    </w:p>
    <w:p w:rsidR="00A674F9" w:rsidRDefault="00CD789A">
      <w:pPr>
        <w:pStyle w:val="2"/>
        <w:keepNext w:val="0"/>
        <w:keepLines w:val="0"/>
        <w:tabs>
          <w:tab w:val="left" w:pos="1080"/>
        </w:tabs>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bookmarkStart w:id="122" w:name="_Toc22454466"/>
      <w:bookmarkStart w:id="123" w:name="_Toc48703917"/>
      <w:r>
        <w:rPr>
          <w:rFonts w:ascii="宋体" w:eastAsia="宋体" w:hAnsi="宋体" w:hint="eastAsia"/>
          <w:b w:val="0"/>
          <w:sz w:val="24"/>
          <w:szCs w:val="24"/>
        </w:rPr>
        <w:t>（一）</w:t>
      </w:r>
      <w:r>
        <w:rPr>
          <w:rFonts w:ascii="宋体" w:eastAsia="宋体" w:hAnsi="宋体" w:cs="Arial" w:hint="eastAsia"/>
          <w:b w:val="0"/>
          <w:kern w:val="0"/>
          <w:sz w:val="24"/>
          <w:szCs w:val="24"/>
        </w:rPr>
        <w:t>保密义务</w:t>
      </w:r>
      <w:bookmarkEnd w:id="122"/>
      <w:bookmarkEnd w:id="123"/>
    </w:p>
    <w:p w:rsidR="00A674F9" w:rsidRDefault="00CD789A">
      <w:pPr>
        <w:spacing w:line="360" w:lineRule="auto"/>
        <w:ind w:right="28" w:firstLineChars="200" w:firstLine="480"/>
        <w:rPr>
          <w:rFonts w:ascii="宋体" w:hAnsi="宋体"/>
          <w:sz w:val="24"/>
          <w:szCs w:val="21"/>
        </w:rPr>
      </w:pPr>
      <w:r>
        <w:rPr>
          <w:rFonts w:ascii="宋体" w:hAnsi="宋体" w:hint="eastAsia"/>
          <w:sz w:val="24"/>
        </w:rPr>
        <w:t>除按照《基金法》、《信息披露办法》、《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w:t>
      </w:r>
      <w:r>
        <w:rPr>
          <w:rFonts w:ascii="宋体" w:hAnsi="宋体" w:hint="eastAsia"/>
          <w:sz w:val="24"/>
          <w:szCs w:val="21"/>
        </w:rPr>
        <w:t>但是，如下情况不应视为基金管理人或基金托管人违反保密义务：</w:t>
      </w:r>
    </w:p>
    <w:p w:rsidR="00A674F9" w:rsidRDefault="00CD789A">
      <w:pPr>
        <w:pStyle w:val="a5"/>
        <w:spacing w:after="0" w:line="360" w:lineRule="auto"/>
        <w:rPr>
          <w:rFonts w:ascii="宋体" w:hAnsi="宋体"/>
          <w:sz w:val="24"/>
          <w:szCs w:val="24"/>
        </w:rPr>
      </w:pPr>
      <w:r>
        <w:rPr>
          <w:rFonts w:ascii="宋体" w:hAnsi="宋体" w:hint="eastAsia"/>
          <w:sz w:val="24"/>
          <w:szCs w:val="24"/>
        </w:rPr>
        <w:t>1</w:t>
      </w:r>
      <w:r>
        <w:rPr>
          <w:rFonts w:ascii="宋体" w:hAnsi="宋体" w:hint="eastAsia"/>
          <w:sz w:val="24"/>
          <w:szCs w:val="24"/>
        </w:rPr>
        <w:t>、非因基金管理人和基金托</w:t>
      </w:r>
      <w:r>
        <w:rPr>
          <w:rFonts w:ascii="宋体" w:hAnsi="宋体" w:hint="eastAsia"/>
          <w:sz w:val="24"/>
          <w:szCs w:val="24"/>
        </w:rPr>
        <w:t>管人的原因导致保密信息被披露、泄露或公开；</w:t>
      </w:r>
    </w:p>
    <w:p w:rsidR="00A674F9" w:rsidRDefault="00CD789A">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、基金管理人和基金托管人为遵守和服从法院判决、仲裁裁决或中国证监会等监管机构的命令、决定所做出的信息披露或公开。</w:t>
      </w:r>
    </w:p>
    <w:p w:rsidR="00A674F9" w:rsidRDefault="00CD789A">
      <w:pPr>
        <w:pStyle w:val="2"/>
        <w:keepNext w:val="0"/>
        <w:keepLines w:val="0"/>
        <w:tabs>
          <w:tab w:val="left" w:pos="1080"/>
        </w:tabs>
        <w:autoSpaceDE w:val="0"/>
        <w:autoSpaceDN w:val="0"/>
        <w:adjustRightInd w:val="0"/>
        <w:spacing w:before="0" w:after="0" w:line="360" w:lineRule="auto"/>
        <w:ind w:firstLineChars="200" w:firstLine="480"/>
        <w:textAlignment w:val="baseline"/>
        <w:rPr>
          <w:rFonts w:ascii="宋体" w:eastAsia="宋体" w:hAnsi="宋体"/>
          <w:b w:val="0"/>
          <w:sz w:val="24"/>
          <w:szCs w:val="24"/>
        </w:rPr>
      </w:pPr>
      <w:bookmarkStart w:id="124" w:name="_Toc22454467"/>
      <w:bookmarkStart w:id="125" w:name="_Toc48703918"/>
      <w:r>
        <w:rPr>
          <w:rFonts w:ascii="宋体" w:eastAsia="宋体" w:hAnsi="宋体" w:hint="eastAsia"/>
          <w:b w:val="0"/>
          <w:sz w:val="24"/>
          <w:szCs w:val="24"/>
        </w:rPr>
        <w:t>（二）基金管理人和基金托管人在信息披露中的职责和信息披露程序</w:t>
      </w:r>
      <w:bookmarkEnd w:id="124"/>
      <w:bookmarkEnd w:id="125"/>
    </w:p>
    <w:p w:rsidR="00A674F9" w:rsidRDefault="00CD789A">
      <w:pPr>
        <w:spacing w:line="360" w:lineRule="auto"/>
        <w:ind w:right="28" w:firstLineChars="200" w:firstLine="480"/>
        <w:rPr>
          <w:rFonts w:ascii="宋体" w:hAnsi="宋体"/>
          <w:sz w:val="24"/>
          <w:szCs w:val="21"/>
        </w:rPr>
      </w:pPr>
      <w:r>
        <w:rPr>
          <w:rFonts w:ascii="宋体" w:hAnsi="宋体" w:hint="eastAsia"/>
          <w:sz w:val="24"/>
          <w:szCs w:val="21"/>
        </w:rPr>
        <w:t>基金管理人和基金托管人应根据相关法律法规、《基金合同》的规定各自承担相应的信息披露职责。基金管理人和基金托管人负有积极配合、互相督促、彼此监督、保证其履行按照法定方式和时限披露的义务。</w:t>
      </w:r>
    </w:p>
    <w:p w:rsidR="00A674F9" w:rsidRDefault="00CD789A">
      <w:pPr>
        <w:spacing w:line="360" w:lineRule="auto"/>
        <w:ind w:firstLineChars="200" w:firstLine="480"/>
        <w:rPr>
          <w:rFonts w:ascii="宋体" w:hAnsi="宋体"/>
          <w:sz w:val="24"/>
        </w:rPr>
      </w:pPr>
      <w:r>
        <w:rPr>
          <w:rFonts w:ascii="宋体" w:hAnsi="宋体" w:hint="eastAsia"/>
          <w:sz w:val="24"/>
        </w:rPr>
        <w:t>根据《信息披露办法》的要求，本基金信息披露的文件包括基金招募说明书、</w:t>
      </w:r>
      <w:r>
        <w:rPr>
          <w:rFonts w:ascii="宋体" w:hAnsi="宋体" w:hint="eastAsia"/>
          <w:sz w:val="24"/>
        </w:rPr>
        <w:t>基金产品资料概要、</w:t>
      </w:r>
      <w:r>
        <w:rPr>
          <w:rFonts w:ascii="宋体" w:hAnsi="宋体" w:hint="eastAsia"/>
          <w:sz w:val="24"/>
        </w:rPr>
        <w:t>《基金合同》、基金</w:t>
      </w:r>
      <w:r>
        <w:rPr>
          <w:rFonts w:ascii="宋体" w:hAnsi="宋体" w:hint="eastAsia"/>
          <w:sz w:val="24"/>
        </w:rPr>
        <w:t>托管协议、基金份额发售公告、《基金合同》生效公告、定期报告、临时报告、基金</w:t>
      </w:r>
      <w:r>
        <w:rPr>
          <w:rFonts w:ascii="宋体" w:hAnsi="宋体" w:hint="eastAsia"/>
          <w:sz w:val="24"/>
        </w:rPr>
        <w:t>净值</w:t>
      </w:r>
      <w:r>
        <w:rPr>
          <w:rFonts w:ascii="宋体" w:hAnsi="宋体" w:hint="eastAsia"/>
          <w:sz w:val="24"/>
        </w:rPr>
        <w:t>信息</w:t>
      </w:r>
      <w:r>
        <w:rPr>
          <w:rFonts w:ascii="宋体" w:hAnsi="宋体" w:hint="eastAsia"/>
          <w:sz w:val="24"/>
        </w:rPr>
        <w:t>、清算报告</w:t>
      </w:r>
      <w:r>
        <w:rPr>
          <w:rFonts w:ascii="宋体" w:hAnsi="宋体" w:hint="eastAsia"/>
          <w:sz w:val="24"/>
        </w:rPr>
        <w:t>等其他必要的公告文件，由基金管理人拟定并负责公布。</w:t>
      </w:r>
    </w:p>
    <w:p w:rsidR="00A674F9" w:rsidRDefault="00CD789A">
      <w:pPr>
        <w:spacing w:line="360" w:lineRule="auto"/>
        <w:ind w:firstLineChars="200" w:firstLine="480"/>
        <w:rPr>
          <w:rFonts w:ascii="宋体" w:hAnsi="宋体"/>
          <w:sz w:val="24"/>
        </w:rPr>
      </w:pPr>
      <w:r>
        <w:rPr>
          <w:rFonts w:ascii="宋体" w:hAnsi="宋体" w:hint="eastAsia"/>
          <w:sz w:val="24"/>
        </w:rPr>
        <w:t>基金托管人应当按照相关法律、行政法规、中国证监会的规定和《基金合同》的约定，对基金管理人编制的基金</w:t>
      </w:r>
      <w:r>
        <w:rPr>
          <w:rFonts w:ascii="宋体" w:hAnsi="宋体" w:hint="eastAsia"/>
          <w:sz w:val="24"/>
        </w:rPr>
        <w:t>净值</w:t>
      </w:r>
      <w:r>
        <w:rPr>
          <w:rFonts w:ascii="宋体" w:hAnsi="宋体" w:hint="eastAsia"/>
          <w:sz w:val="24"/>
        </w:rPr>
        <w:t>信息</w:t>
      </w:r>
      <w:r>
        <w:rPr>
          <w:rFonts w:ascii="宋体" w:hAnsi="宋体" w:hint="eastAsia"/>
          <w:sz w:val="24"/>
        </w:rPr>
        <w:t>、基金业绩表现数据、基金定期报告</w:t>
      </w:r>
      <w:r>
        <w:rPr>
          <w:rFonts w:ascii="宋体" w:hAnsi="宋体" w:hint="eastAsia"/>
          <w:sz w:val="24"/>
        </w:rPr>
        <w:t>、</w:t>
      </w:r>
      <w:r>
        <w:rPr>
          <w:rFonts w:ascii="宋体" w:hAnsi="宋体" w:hint="eastAsia"/>
          <w:sz w:val="24"/>
        </w:rPr>
        <w:t>更新的招募说明书</w:t>
      </w:r>
      <w:r>
        <w:rPr>
          <w:rFonts w:ascii="宋体" w:hAnsi="宋体" w:hint="eastAsia"/>
          <w:sz w:val="24"/>
        </w:rPr>
        <w:t>、基金产品资料概要、基金清算报告</w:t>
      </w:r>
      <w:r>
        <w:rPr>
          <w:rFonts w:ascii="宋体" w:hAnsi="宋体" w:hint="eastAsia"/>
          <w:sz w:val="24"/>
        </w:rPr>
        <w:t>等公开披露的相关基金信息进行复核、审查，并向基金管理人</w:t>
      </w:r>
      <w:r>
        <w:rPr>
          <w:rFonts w:ascii="宋体" w:hAnsi="宋体" w:hint="eastAsia"/>
          <w:sz w:val="24"/>
        </w:rPr>
        <w:t>进行书面或电子</w:t>
      </w:r>
      <w:r>
        <w:rPr>
          <w:rFonts w:ascii="宋体" w:hAnsi="宋体" w:hint="eastAsia"/>
          <w:sz w:val="24"/>
        </w:rPr>
        <w:t>确认。</w:t>
      </w:r>
    </w:p>
    <w:p w:rsidR="00A674F9" w:rsidRDefault="00CD789A">
      <w:pPr>
        <w:spacing w:line="360" w:lineRule="auto"/>
        <w:ind w:firstLineChars="200" w:firstLine="480"/>
        <w:rPr>
          <w:rFonts w:ascii="宋体" w:hAnsi="宋体"/>
          <w:sz w:val="24"/>
        </w:rPr>
      </w:pPr>
      <w:r>
        <w:rPr>
          <w:rFonts w:ascii="宋体" w:hAnsi="宋体" w:hint="eastAsia"/>
          <w:sz w:val="24"/>
        </w:rPr>
        <w:t>基金年报中的财务</w:t>
      </w:r>
      <w:r>
        <w:rPr>
          <w:rFonts w:ascii="宋体" w:hAnsi="宋体" w:hint="eastAsia"/>
          <w:sz w:val="24"/>
        </w:rPr>
        <w:t>会计</w:t>
      </w:r>
      <w:r>
        <w:rPr>
          <w:rFonts w:ascii="宋体" w:hAnsi="宋体" w:hint="eastAsia"/>
          <w:sz w:val="24"/>
        </w:rPr>
        <w:t>报告部分，经有</w:t>
      </w:r>
      <w:r>
        <w:rPr>
          <w:rFonts w:ascii="宋体" w:hAnsi="宋体" w:hint="eastAsia"/>
          <w:sz w:val="24"/>
        </w:rPr>
        <w:t>证券</w:t>
      </w:r>
      <w:r>
        <w:rPr>
          <w:rFonts w:ascii="宋体" w:hAnsi="宋体" w:hint="eastAsia"/>
          <w:sz w:val="24"/>
        </w:rPr>
        <w:t>、期货</w:t>
      </w:r>
      <w:r>
        <w:rPr>
          <w:rFonts w:ascii="宋体" w:hAnsi="宋体" w:hint="eastAsia"/>
          <w:sz w:val="24"/>
        </w:rPr>
        <w:t>相关业务资格的会计师事务所审计后，方可披露。</w:t>
      </w:r>
    </w:p>
    <w:p w:rsidR="00A674F9" w:rsidRDefault="00CD789A">
      <w:pPr>
        <w:spacing w:line="360" w:lineRule="auto"/>
        <w:ind w:firstLineChars="200" w:firstLine="480"/>
        <w:rPr>
          <w:rFonts w:ascii="宋体" w:hAnsi="宋体" w:cs="Arial"/>
          <w:sz w:val="24"/>
          <w:szCs w:val="21"/>
        </w:rPr>
      </w:pPr>
      <w:r>
        <w:rPr>
          <w:rFonts w:ascii="宋体" w:hAnsi="宋体" w:cs="Arial" w:hint="eastAsia"/>
          <w:sz w:val="24"/>
          <w:szCs w:val="21"/>
        </w:rPr>
        <w:t>基金管理人应当在中国证监会规定的时间内，将应予披露的基金信息通过中国证监会指定的全国性报刊和基金管理人的互联网网站等媒介披露。根据法律法规应由基金托管人公开披露的信息，基金托管人将通过指定</w:t>
      </w:r>
      <w:r>
        <w:rPr>
          <w:rFonts w:ascii="宋体" w:hAnsi="宋体" w:cs="Arial" w:hint="eastAsia"/>
          <w:sz w:val="24"/>
          <w:szCs w:val="21"/>
        </w:rPr>
        <w:t>媒介</w:t>
      </w:r>
      <w:r>
        <w:rPr>
          <w:rFonts w:ascii="宋体" w:hAnsi="宋体" w:cs="Arial" w:hint="eastAsia"/>
          <w:sz w:val="24"/>
          <w:szCs w:val="21"/>
        </w:rPr>
        <w:t>公开披露。</w:t>
      </w:r>
    </w:p>
    <w:p w:rsidR="00A674F9" w:rsidRDefault="00CD789A">
      <w:pPr>
        <w:spacing w:line="360" w:lineRule="auto"/>
        <w:ind w:firstLineChars="200" w:firstLine="480"/>
        <w:rPr>
          <w:rFonts w:ascii="宋体" w:hAnsi="宋体"/>
          <w:sz w:val="24"/>
        </w:rPr>
      </w:pPr>
      <w:r>
        <w:rPr>
          <w:rFonts w:ascii="宋体" w:hAnsi="宋体" w:cs="Arial" w:hint="eastAsia"/>
          <w:sz w:val="24"/>
          <w:szCs w:val="21"/>
        </w:rPr>
        <w:lastRenderedPageBreak/>
        <w:t>依法必须披露的信息发布后，基金管理人、基金托管人应当按照相关法律法规规定将信息置备于公司住所，供社会公众查阅、复制。</w:t>
      </w:r>
      <w:r>
        <w:rPr>
          <w:rFonts w:ascii="宋体" w:hAnsi="宋体" w:cs="Arial" w:hint="eastAsia"/>
          <w:sz w:val="24"/>
          <w:szCs w:val="21"/>
        </w:rPr>
        <w:t>投资者可以免费查阅</w:t>
      </w:r>
      <w:r>
        <w:rPr>
          <w:rFonts w:ascii="宋体" w:hAnsi="宋体" w:cs="Arial" w:hint="eastAsia"/>
          <w:sz w:val="24"/>
          <w:szCs w:val="21"/>
        </w:rPr>
        <w:t>上述文件</w:t>
      </w:r>
      <w:bookmarkStart w:id="126" w:name="_GoBack"/>
      <w:bookmarkEnd w:id="126"/>
      <w:r>
        <w:rPr>
          <w:rFonts w:ascii="宋体" w:hAnsi="宋体" w:cs="Arial" w:hint="eastAsia"/>
          <w:sz w:val="24"/>
          <w:szCs w:val="21"/>
        </w:rPr>
        <w:t>。在支付工本费后可在合理时间获得上</w:t>
      </w:r>
      <w:r>
        <w:rPr>
          <w:rFonts w:ascii="宋体" w:hAnsi="宋体" w:cs="Arial" w:hint="eastAsia"/>
          <w:sz w:val="24"/>
          <w:szCs w:val="21"/>
        </w:rPr>
        <w:t>述文件的复制件或复印件。基金管理人和基金托管人应保证文本的内容与所公告的内容完全一致。</w:t>
      </w:r>
    </w:p>
    <w:p w:rsidR="00A674F9" w:rsidRDefault="00CD789A">
      <w:pPr>
        <w:spacing w:line="360" w:lineRule="auto"/>
        <w:ind w:firstLine="480"/>
        <w:rPr>
          <w:rFonts w:ascii="宋体" w:hAnsi="宋体"/>
          <w:sz w:val="24"/>
        </w:rPr>
      </w:pPr>
      <w:r>
        <w:rPr>
          <w:rFonts w:ascii="宋体" w:hAnsi="宋体" w:hint="eastAsia"/>
          <w:sz w:val="24"/>
        </w:rPr>
        <w:t>（三）暂停或延迟信息披露的情形</w:t>
      </w:r>
    </w:p>
    <w:p w:rsidR="00A674F9" w:rsidRDefault="00CD789A">
      <w:pPr>
        <w:spacing w:line="360" w:lineRule="auto"/>
        <w:ind w:firstLine="480"/>
        <w:rPr>
          <w:rFonts w:ascii="宋体" w:hAnsi="宋体"/>
          <w:sz w:val="24"/>
        </w:rPr>
      </w:pPr>
      <w:r>
        <w:rPr>
          <w:rFonts w:ascii="宋体" w:hAnsi="宋体" w:hint="eastAsia"/>
          <w:sz w:val="24"/>
        </w:rPr>
        <w:t>1</w:t>
      </w:r>
      <w:r>
        <w:rPr>
          <w:rFonts w:ascii="宋体" w:hAnsi="宋体" w:hint="eastAsia"/>
          <w:sz w:val="24"/>
        </w:rPr>
        <w:t>、基金投资所涉及的证券交易所遇法定节假日或因其他原因暂停营业时；</w:t>
      </w:r>
    </w:p>
    <w:p w:rsidR="00A674F9" w:rsidRDefault="00CD789A">
      <w:pPr>
        <w:spacing w:line="360" w:lineRule="auto"/>
        <w:ind w:firstLine="480"/>
        <w:rPr>
          <w:rFonts w:ascii="宋体" w:hAnsi="宋体"/>
          <w:sz w:val="24"/>
        </w:rPr>
      </w:pPr>
      <w:r>
        <w:rPr>
          <w:rFonts w:ascii="宋体" w:hAnsi="宋体" w:hint="eastAsia"/>
          <w:sz w:val="24"/>
        </w:rPr>
        <w:t>2</w:t>
      </w:r>
      <w:r>
        <w:rPr>
          <w:rFonts w:ascii="宋体" w:hAnsi="宋体" w:hint="eastAsia"/>
          <w:sz w:val="24"/>
        </w:rPr>
        <w:t>、因不可抗力或其他情形致使基金管理人、基金托管人无法准确评估基金资产价值时；</w:t>
      </w:r>
    </w:p>
    <w:p w:rsidR="00A674F9" w:rsidRDefault="00CD789A">
      <w:pPr>
        <w:spacing w:line="360" w:lineRule="auto"/>
        <w:ind w:firstLine="480"/>
        <w:rPr>
          <w:rFonts w:ascii="宋体" w:hAnsi="宋体"/>
          <w:sz w:val="24"/>
        </w:rPr>
      </w:pPr>
      <w:r>
        <w:rPr>
          <w:rFonts w:ascii="宋体" w:hAnsi="宋体" w:hint="eastAsia"/>
          <w:sz w:val="24"/>
        </w:rPr>
        <w:t>3</w:t>
      </w:r>
      <w:r>
        <w:rPr>
          <w:rFonts w:ascii="宋体" w:hAnsi="宋体" w:hint="eastAsia"/>
          <w:sz w:val="24"/>
        </w:rPr>
        <w:t>、占基金相当比例的投资品种的估值出现重大转变，而基金管理人为保障基金份额持有人的利益，已决定延迟估值；</w:t>
      </w:r>
    </w:p>
    <w:p w:rsidR="00A674F9" w:rsidRDefault="00CD789A">
      <w:pPr>
        <w:spacing w:line="360" w:lineRule="auto"/>
        <w:ind w:firstLine="480"/>
        <w:rPr>
          <w:rFonts w:ascii="宋体" w:hAnsi="宋体"/>
          <w:sz w:val="24"/>
        </w:rPr>
      </w:pPr>
      <w:r>
        <w:rPr>
          <w:rFonts w:ascii="宋体" w:hAnsi="宋体" w:hint="eastAsia"/>
          <w:sz w:val="24"/>
        </w:rPr>
        <w:t>4</w:t>
      </w:r>
      <w:r>
        <w:rPr>
          <w:rFonts w:ascii="宋体" w:hAnsi="宋体" w:hint="eastAsia"/>
          <w:sz w:val="24"/>
        </w:rPr>
        <w:t>、出现基金管理人认为属于会导致基金管理人不能出售或评估基金资产的紧急事故的任何情况；</w:t>
      </w:r>
    </w:p>
    <w:p w:rsidR="00A674F9" w:rsidRDefault="00CD789A">
      <w:pPr>
        <w:spacing w:line="360" w:lineRule="auto"/>
        <w:ind w:firstLine="480"/>
        <w:rPr>
          <w:rFonts w:ascii="宋体" w:hAnsi="宋体"/>
          <w:sz w:val="24"/>
        </w:rPr>
      </w:pPr>
      <w:r>
        <w:rPr>
          <w:rFonts w:ascii="宋体" w:hAnsi="宋体" w:hint="eastAsia"/>
          <w:sz w:val="24"/>
        </w:rPr>
        <w:t>5</w:t>
      </w:r>
      <w:r>
        <w:rPr>
          <w:rFonts w:ascii="宋体" w:hAnsi="宋体" w:hint="eastAsia"/>
          <w:sz w:val="24"/>
        </w:rPr>
        <w:t>、法律法规规定、中国证监会或《基金合同》认定的其他情形。</w:t>
      </w:r>
    </w:p>
    <w:p w:rsidR="00A674F9" w:rsidRDefault="00CD789A">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27" w:name="_Toc140002346"/>
      <w:bookmarkStart w:id="128" w:name="_Toc125361083"/>
      <w:bookmarkStart w:id="129" w:name="_Toc124749946"/>
      <w:bookmarkStart w:id="130" w:name="_Toc124749235"/>
      <w:bookmarkStart w:id="131" w:name="_Toc123626177"/>
      <w:r>
        <w:rPr>
          <w:rFonts w:ascii="宋体" w:hAnsi="宋体" w:cs="Arial" w:hint="eastAsia"/>
          <w:sz w:val="30"/>
        </w:rPr>
        <w:t>基金费用</w:t>
      </w:r>
      <w:bookmarkEnd w:id="10"/>
      <w:bookmarkEnd w:id="127"/>
      <w:bookmarkEnd w:id="128"/>
      <w:bookmarkEnd w:id="129"/>
      <w:bookmarkEnd w:id="130"/>
      <w:bookmarkEnd w:id="131"/>
    </w:p>
    <w:p w:rsidR="00A674F9" w:rsidRDefault="00CD789A">
      <w:pPr>
        <w:spacing w:line="360" w:lineRule="auto"/>
        <w:ind w:firstLineChars="200" w:firstLine="480"/>
        <w:rPr>
          <w:rFonts w:ascii="宋体" w:hAnsi="宋体"/>
          <w:sz w:val="24"/>
        </w:rPr>
      </w:pPr>
      <w:r>
        <w:rPr>
          <w:rFonts w:ascii="宋体" w:hAnsi="宋体" w:hint="eastAsia"/>
          <w:sz w:val="24"/>
        </w:rPr>
        <w:t>（一）基金管理费的计提比例和计提方法</w:t>
      </w:r>
    </w:p>
    <w:p w:rsidR="00A674F9" w:rsidRDefault="00CD789A">
      <w:pPr>
        <w:spacing w:line="360" w:lineRule="auto"/>
        <w:ind w:firstLineChars="200" w:firstLine="480"/>
        <w:rPr>
          <w:rFonts w:ascii="宋体" w:hAnsi="宋体"/>
          <w:sz w:val="24"/>
        </w:rPr>
      </w:pPr>
      <w:r>
        <w:rPr>
          <w:rFonts w:ascii="宋体" w:hAnsi="宋体" w:hint="eastAsia"/>
          <w:sz w:val="24"/>
        </w:rPr>
        <w:t>基金管理费按基金资产净值的</w:t>
      </w:r>
      <w:r>
        <w:rPr>
          <w:rFonts w:ascii="宋体" w:hAnsi="宋体" w:hint="eastAsia"/>
          <w:sz w:val="24"/>
        </w:rPr>
        <w:t>1.5%</w:t>
      </w:r>
      <w:r>
        <w:rPr>
          <w:rFonts w:ascii="宋体" w:hAnsi="宋体" w:hint="eastAsia"/>
          <w:sz w:val="24"/>
        </w:rPr>
        <w:t>年费率计提。</w:t>
      </w:r>
    </w:p>
    <w:p w:rsidR="00A674F9" w:rsidRDefault="00CD789A">
      <w:pPr>
        <w:spacing w:line="360" w:lineRule="auto"/>
        <w:ind w:firstLineChars="200" w:firstLine="480"/>
        <w:rPr>
          <w:rFonts w:ascii="宋体" w:hAnsi="宋体"/>
          <w:sz w:val="24"/>
        </w:rPr>
      </w:pPr>
      <w:r>
        <w:rPr>
          <w:rFonts w:ascii="宋体" w:hAnsi="宋体" w:hint="eastAsia"/>
          <w:sz w:val="24"/>
        </w:rPr>
        <w:t>在通常情况下，基金管理费按前一日基金资产净值</w:t>
      </w:r>
      <w:r>
        <w:rPr>
          <w:rFonts w:ascii="宋体" w:hAnsi="宋体" w:hint="eastAsia"/>
          <w:sz w:val="24"/>
        </w:rPr>
        <w:t>1.5%</w:t>
      </w:r>
      <w:r>
        <w:rPr>
          <w:rFonts w:ascii="宋体" w:hAnsi="宋体" w:hint="eastAsia"/>
          <w:sz w:val="24"/>
        </w:rPr>
        <w:t>年费率计提。计算方法如下：</w:t>
      </w:r>
    </w:p>
    <w:p w:rsidR="00A674F9" w:rsidRDefault="00CD789A">
      <w:pPr>
        <w:spacing w:line="360" w:lineRule="auto"/>
        <w:ind w:firstLineChars="200" w:firstLine="480"/>
        <w:rPr>
          <w:rFonts w:ascii="宋体" w:hAnsi="宋体"/>
          <w:sz w:val="24"/>
        </w:rPr>
      </w:pPr>
      <w:r>
        <w:rPr>
          <w:rFonts w:ascii="宋体" w:hAnsi="宋体" w:hint="eastAsia"/>
          <w:sz w:val="24"/>
        </w:rPr>
        <w:t xml:space="preserve">    H</w:t>
      </w:r>
      <w:r>
        <w:rPr>
          <w:rFonts w:ascii="宋体" w:hAnsi="宋体" w:hint="eastAsia"/>
          <w:sz w:val="24"/>
        </w:rPr>
        <w:t>＝</w:t>
      </w:r>
      <w:r>
        <w:rPr>
          <w:rFonts w:ascii="宋体" w:hAnsi="宋体" w:hint="eastAsia"/>
          <w:sz w:val="24"/>
        </w:rPr>
        <w:t>E</w:t>
      </w:r>
      <w:r>
        <w:rPr>
          <w:rFonts w:ascii="宋体" w:hAnsi="宋体" w:hint="eastAsia"/>
          <w:sz w:val="24"/>
        </w:rPr>
        <w:t>×</w:t>
      </w:r>
      <w:r>
        <w:rPr>
          <w:rFonts w:ascii="宋体" w:hAnsi="宋体" w:hint="eastAsia"/>
          <w:sz w:val="24"/>
        </w:rPr>
        <w:t>1.5%</w:t>
      </w:r>
      <w:r>
        <w:rPr>
          <w:rFonts w:ascii="宋体" w:hAnsi="宋体" w:hint="eastAsia"/>
          <w:sz w:val="24"/>
        </w:rPr>
        <w:t>÷当年天数</w:t>
      </w:r>
    </w:p>
    <w:p w:rsidR="00A674F9" w:rsidRDefault="00CD789A">
      <w:pPr>
        <w:spacing w:line="360" w:lineRule="auto"/>
        <w:ind w:firstLineChars="200" w:firstLine="480"/>
        <w:rPr>
          <w:rFonts w:ascii="宋体" w:hAnsi="宋体"/>
          <w:sz w:val="24"/>
        </w:rPr>
      </w:pPr>
      <w:r>
        <w:rPr>
          <w:rFonts w:ascii="宋体" w:hAnsi="宋体" w:hint="eastAsia"/>
          <w:sz w:val="24"/>
        </w:rPr>
        <w:t xml:space="preserve">    H</w:t>
      </w:r>
      <w:r>
        <w:rPr>
          <w:rFonts w:ascii="宋体" w:hAnsi="宋体" w:hint="eastAsia"/>
          <w:sz w:val="24"/>
        </w:rPr>
        <w:t>为每日应计提的基金管理费</w:t>
      </w:r>
    </w:p>
    <w:p w:rsidR="00A674F9" w:rsidRDefault="00CD789A">
      <w:pPr>
        <w:spacing w:line="360" w:lineRule="auto"/>
        <w:ind w:firstLineChars="200" w:firstLine="480"/>
        <w:rPr>
          <w:rFonts w:ascii="宋体" w:hAnsi="宋体"/>
          <w:sz w:val="24"/>
        </w:rPr>
      </w:pPr>
      <w:r>
        <w:rPr>
          <w:rFonts w:ascii="宋体" w:hAnsi="宋体" w:hint="eastAsia"/>
          <w:sz w:val="24"/>
        </w:rPr>
        <w:t xml:space="preserve">    E</w:t>
      </w:r>
      <w:r>
        <w:rPr>
          <w:rFonts w:ascii="宋体" w:hAnsi="宋体" w:hint="eastAsia"/>
          <w:sz w:val="24"/>
        </w:rPr>
        <w:t>为前一日的基金资产净值</w:t>
      </w:r>
    </w:p>
    <w:p w:rsidR="00A674F9" w:rsidRDefault="00CD789A">
      <w:pPr>
        <w:spacing w:line="360" w:lineRule="auto"/>
        <w:ind w:firstLineChars="200" w:firstLine="480"/>
        <w:rPr>
          <w:rFonts w:ascii="宋体" w:hAnsi="宋体"/>
          <w:sz w:val="24"/>
        </w:rPr>
      </w:pPr>
      <w:r>
        <w:rPr>
          <w:rFonts w:ascii="宋体" w:hAnsi="宋体" w:hint="eastAsia"/>
          <w:sz w:val="24"/>
        </w:rPr>
        <w:t>（二）基金托管费的计提比例和计提方法</w:t>
      </w:r>
    </w:p>
    <w:p w:rsidR="00A674F9" w:rsidRDefault="00CD789A">
      <w:pPr>
        <w:spacing w:line="360" w:lineRule="auto"/>
        <w:ind w:firstLineChars="200" w:firstLine="480"/>
        <w:rPr>
          <w:rFonts w:ascii="宋体" w:hAnsi="宋体"/>
          <w:sz w:val="24"/>
        </w:rPr>
      </w:pPr>
      <w:r>
        <w:rPr>
          <w:rFonts w:ascii="宋体" w:hAnsi="宋体" w:hint="eastAsia"/>
          <w:sz w:val="24"/>
        </w:rPr>
        <w:t>基金托管费按基金资产净值的</w:t>
      </w:r>
      <w:r>
        <w:rPr>
          <w:rFonts w:ascii="宋体" w:hAnsi="宋体" w:hint="eastAsia"/>
          <w:sz w:val="24"/>
        </w:rPr>
        <w:t>0.25%</w:t>
      </w:r>
      <w:r>
        <w:rPr>
          <w:rFonts w:ascii="宋体" w:hAnsi="宋体" w:hint="eastAsia"/>
          <w:sz w:val="24"/>
        </w:rPr>
        <w:t>年费率计提。</w:t>
      </w:r>
    </w:p>
    <w:p w:rsidR="00A674F9" w:rsidRDefault="00CD789A">
      <w:pPr>
        <w:spacing w:line="360" w:lineRule="auto"/>
        <w:ind w:firstLineChars="200" w:firstLine="480"/>
        <w:rPr>
          <w:rFonts w:ascii="宋体" w:hAnsi="宋体"/>
          <w:sz w:val="24"/>
        </w:rPr>
      </w:pPr>
      <w:r>
        <w:rPr>
          <w:rFonts w:ascii="宋体" w:hAnsi="宋体" w:hint="eastAsia"/>
          <w:sz w:val="24"/>
        </w:rPr>
        <w:t>在通常情况下，基金托管费按前一日基金资产净值的</w:t>
      </w:r>
      <w:r>
        <w:rPr>
          <w:rFonts w:ascii="宋体" w:hAnsi="宋体" w:hint="eastAsia"/>
          <w:sz w:val="24"/>
        </w:rPr>
        <w:t>0.25%</w:t>
      </w:r>
      <w:r>
        <w:rPr>
          <w:rFonts w:ascii="宋体" w:hAnsi="宋体" w:hint="eastAsia"/>
          <w:sz w:val="24"/>
        </w:rPr>
        <w:t>年费率计提。计算方法如下：</w:t>
      </w:r>
    </w:p>
    <w:p w:rsidR="00A674F9" w:rsidRDefault="00CD789A">
      <w:pPr>
        <w:spacing w:line="360" w:lineRule="auto"/>
        <w:ind w:firstLineChars="200" w:firstLine="480"/>
        <w:rPr>
          <w:rFonts w:ascii="宋体" w:hAnsi="宋体"/>
          <w:sz w:val="24"/>
        </w:rPr>
      </w:pPr>
      <w:r>
        <w:rPr>
          <w:rFonts w:ascii="宋体" w:hAnsi="宋体" w:hint="eastAsia"/>
          <w:sz w:val="24"/>
        </w:rPr>
        <w:t xml:space="preserve">    H</w:t>
      </w:r>
      <w:r>
        <w:rPr>
          <w:rFonts w:ascii="宋体" w:hAnsi="宋体" w:hint="eastAsia"/>
          <w:sz w:val="24"/>
        </w:rPr>
        <w:t>＝</w:t>
      </w:r>
      <w:r>
        <w:rPr>
          <w:rFonts w:ascii="宋体" w:hAnsi="宋体" w:hint="eastAsia"/>
          <w:sz w:val="24"/>
        </w:rPr>
        <w:t>E</w:t>
      </w:r>
      <w:r>
        <w:rPr>
          <w:rFonts w:ascii="宋体" w:hAnsi="宋体" w:hint="eastAsia"/>
          <w:sz w:val="24"/>
        </w:rPr>
        <w:t>×</w:t>
      </w:r>
      <w:r>
        <w:rPr>
          <w:rFonts w:ascii="宋体" w:hAnsi="宋体" w:hint="eastAsia"/>
          <w:sz w:val="24"/>
        </w:rPr>
        <w:t>0.25%</w:t>
      </w:r>
      <w:r>
        <w:rPr>
          <w:rFonts w:ascii="宋体" w:hAnsi="宋体" w:hint="eastAsia"/>
          <w:sz w:val="24"/>
        </w:rPr>
        <w:t>÷当年天数</w:t>
      </w:r>
    </w:p>
    <w:p w:rsidR="00A674F9" w:rsidRDefault="00CD789A">
      <w:pPr>
        <w:spacing w:line="360" w:lineRule="auto"/>
        <w:ind w:firstLineChars="200" w:firstLine="480"/>
        <w:rPr>
          <w:rFonts w:ascii="宋体" w:hAnsi="宋体"/>
          <w:sz w:val="24"/>
        </w:rPr>
      </w:pPr>
      <w:r>
        <w:rPr>
          <w:rFonts w:ascii="宋体" w:hAnsi="宋体" w:hint="eastAsia"/>
          <w:sz w:val="24"/>
        </w:rPr>
        <w:t xml:space="preserve">    H</w:t>
      </w:r>
      <w:r>
        <w:rPr>
          <w:rFonts w:ascii="宋体" w:hAnsi="宋体" w:hint="eastAsia"/>
          <w:sz w:val="24"/>
        </w:rPr>
        <w:t>为每日应计提的基金托管费</w:t>
      </w:r>
    </w:p>
    <w:p w:rsidR="00A674F9" w:rsidRDefault="00CD789A">
      <w:pPr>
        <w:spacing w:line="360" w:lineRule="auto"/>
        <w:ind w:left="420" w:firstLineChars="200" w:firstLine="480"/>
        <w:rPr>
          <w:rFonts w:ascii="宋体" w:hAnsi="宋体"/>
          <w:sz w:val="24"/>
        </w:rPr>
      </w:pPr>
      <w:r>
        <w:rPr>
          <w:rFonts w:ascii="宋体" w:hAnsi="宋体" w:hint="eastAsia"/>
          <w:sz w:val="24"/>
        </w:rPr>
        <w:t>E</w:t>
      </w:r>
      <w:r>
        <w:rPr>
          <w:rFonts w:ascii="宋体" w:hAnsi="宋体" w:hint="eastAsia"/>
          <w:sz w:val="24"/>
        </w:rPr>
        <w:t>为前一日的基金资产净值</w:t>
      </w:r>
    </w:p>
    <w:p w:rsidR="00A674F9" w:rsidRDefault="00CD789A">
      <w:pPr>
        <w:spacing w:line="360" w:lineRule="auto"/>
        <w:ind w:firstLineChars="200" w:firstLine="480"/>
        <w:rPr>
          <w:rFonts w:ascii="宋体" w:hAnsi="宋体"/>
          <w:sz w:val="24"/>
        </w:rPr>
      </w:pPr>
      <w:r>
        <w:rPr>
          <w:rFonts w:ascii="宋体" w:hAnsi="宋体" w:hint="eastAsia"/>
          <w:sz w:val="24"/>
        </w:rPr>
        <w:lastRenderedPageBreak/>
        <w:t>（三）证券交易费用、基金信息披露费用、基金份额持有人大会费用、《基金合同》生效后与基金相关的会计师费、律师费等根据有关法规、《基金合同》及相应协议的规定，由基金托管人按基金管理人的划款指令并根据费用实际支出金额支付，列入当期基金费用。</w:t>
      </w:r>
    </w:p>
    <w:p w:rsidR="00A674F9" w:rsidRDefault="00CD789A">
      <w:pPr>
        <w:spacing w:line="360" w:lineRule="auto"/>
        <w:ind w:firstLineChars="200" w:firstLine="480"/>
        <w:rPr>
          <w:rFonts w:ascii="宋体" w:hAnsi="宋体"/>
          <w:sz w:val="24"/>
        </w:rPr>
      </w:pPr>
      <w:r>
        <w:rPr>
          <w:rFonts w:ascii="宋体" w:hAnsi="宋体" w:hint="eastAsia"/>
          <w:sz w:val="24"/>
        </w:rPr>
        <w:t>（四）不列入基金费用的项目</w:t>
      </w:r>
    </w:p>
    <w:p w:rsidR="00A674F9" w:rsidRDefault="00CD789A">
      <w:pPr>
        <w:spacing w:line="360" w:lineRule="auto"/>
        <w:ind w:firstLineChars="200" w:firstLine="480"/>
        <w:rPr>
          <w:rFonts w:ascii="宋体" w:hAnsi="宋体"/>
          <w:sz w:val="24"/>
        </w:rPr>
      </w:pPr>
      <w:r>
        <w:rPr>
          <w:rFonts w:ascii="宋体" w:hAnsi="宋体" w:hint="eastAsia"/>
          <w:sz w:val="24"/>
        </w:rPr>
        <w:t>基金管理人与基金托管人因未履行或未完全履行义务导致的费用支出或基金财产的损失、《基金合同》生效前的相关费用（包括但不限于验资费、会计师和律师费、信</w:t>
      </w:r>
      <w:r>
        <w:rPr>
          <w:rFonts w:ascii="宋体" w:hAnsi="宋体" w:hint="eastAsia"/>
          <w:sz w:val="24"/>
        </w:rPr>
        <w:t>息披露费用等费用）、处理与基金运作无关的事项发生的费用、其他根据相关法律法规，以及中国证监会的有关规定不得列入基金费用的项目不列入基金费用。</w:t>
      </w:r>
    </w:p>
    <w:p w:rsidR="00A674F9" w:rsidRDefault="00CD789A">
      <w:pPr>
        <w:spacing w:line="360" w:lineRule="auto"/>
        <w:ind w:firstLineChars="200" w:firstLine="480"/>
        <w:rPr>
          <w:rFonts w:ascii="宋体" w:hAnsi="宋体"/>
          <w:sz w:val="24"/>
        </w:rPr>
      </w:pPr>
      <w:r>
        <w:rPr>
          <w:rFonts w:ascii="宋体" w:hAnsi="宋体" w:hint="eastAsia"/>
          <w:sz w:val="24"/>
        </w:rPr>
        <w:t>（五）基金管理费、基金托管费的调整</w:t>
      </w:r>
    </w:p>
    <w:p w:rsidR="00A674F9" w:rsidRDefault="00CD789A">
      <w:pPr>
        <w:spacing w:line="360" w:lineRule="auto"/>
        <w:ind w:firstLineChars="200" w:firstLine="480"/>
        <w:rPr>
          <w:rFonts w:ascii="宋体" w:hAnsi="宋体"/>
          <w:sz w:val="24"/>
        </w:rPr>
      </w:pPr>
      <w:r>
        <w:rPr>
          <w:rFonts w:ascii="宋体" w:hAnsi="宋体" w:hint="eastAsia"/>
          <w:sz w:val="24"/>
        </w:rPr>
        <w:t>基金管理人和基金托管人可根据基金规模等因素协商一致，酌情调低基金管理费率、基金托管费率，无须召开基金份额持有人大会。提高上述费率需经基金份额持有人大会决议通过。</w:t>
      </w:r>
    </w:p>
    <w:p w:rsidR="00A674F9" w:rsidRDefault="00CD789A">
      <w:pPr>
        <w:spacing w:line="360" w:lineRule="auto"/>
        <w:ind w:firstLineChars="200" w:firstLine="480"/>
        <w:rPr>
          <w:rFonts w:ascii="宋体" w:hAnsi="宋体"/>
          <w:sz w:val="24"/>
        </w:rPr>
      </w:pPr>
      <w:r>
        <w:rPr>
          <w:rFonts w:ascii="宋体" w:hAnsi="宋体" w:hint="eastAsia"/>
          <w:sz w:val="24"/>
        </w:rPr>
        <w:t>（六）基金管理费、基金托管费的复核程序、支付方式和时间。基金托管人对不符合《基金法》、《运作办法》等有关规定以及《基金合同》的其他费用有权拒绝执行。</w:t>
      </w:r>
    </w:p>
    <w:p w:rsidR="00A674F9" w:rsidRDefault="00CD789A">
      <w:pPr>
        <w:spacing w:line="360" w:lineRule="auto"/>
        <w:ind w:firstLineChars="200" w:firstLine="480"/>
        <w:rPr>
          <w:rFonts w:ascii="宋体" w:hAnsi="宋体"/>
          <w:sz w:val="24"/>
        </w:rPr>
      </w:pPr>
      <w:r>
        <w:rPr>
          <w:rFonts w:ascii="宋体" w:hAnsi="宋体" w:hint="eastAsia"/>
          <w:sz w:val="24"/>
        </w:rPr>
        <w:t>基金托管人对基金管理人计提的基金管理费、基金托管费等，根据本托管协议和《基金合同》的有关规定进行复核。</w:t>
      </w:r>
    </w:p>
    <w:p w:rsidR="00A674F9" w:rsidRDefault="00CD789A">
      <w:pPr>
        <w:spacing w:line="360" w:lineRule="auto"/>
        <w:ind w:firstLineChars="200" w:firstLine="480"/>
        <w:rPr>
          <w:rFonts w:ascii="宋体" w:hAnsi="宋体"/>
          <w:sz w:val="24"/>
        </w:rPr>
      </w:pPr>
      <w:r>
        <w:rPr>
          <w:rFonts w:ascii="宋体" w:hAnsi="宋体" w:hint="eastAsia"/>
          <w:sz w:val="24"/>
        </w:rPr>
        <w:t>基金管理费每日计提，按月支付。由基金管理人向基金托管人发送基金管理费划付指令，经基金托管人复核后于次月前</w:t>
      </w:r>
      <w:r>
        <w:rPr>
          <w:rFonts w:ascii="宋体" w:hAnsi="宋体" w:hint="eastAsia"/>
          <w:sz w:val="24"/>
        </w:rPr>
        <w:t>3</w:t>
      </w:r>
      <w:r>
        <w:rPr>
          <w:rFonts w:ascii="宋体" w:hAnsi="宋体" w:hint="eastAsia"/>
          <w:sz w:val="24"/>
        </w:rPr>
        <w:t>个工作日内从基金财产中一次性支付给基金管理人。</w:t>
      </w:r>
    </w:p>
    <w:p w:rsidR="00A674F9" w:rsidRDefault="00CD789A">
      <w:pPr>
        <w:spacing w:line="360" w:lineRule="auto"/>
        <w:ind w:firstLineChars="200" w:firstLine="480"/>
        <w:rPr>
          <w:rFonts w:ascii="宋体" w:hAnsi="宋体"/>
          <w:sz w:val="24"/>
        </w:rPr>
      </w:pPr>
      <w:r>
        <w:rPr>
          <w:rFonts w:ascii="宋体" w:hAnsi="宋体" w:hint="eastAsia"/>
          <w:sz w:val="24"/>
        </w:rPr>
        <w:t>基金托管费每日计提，按月支付。由基金管理人向基金托管人发送基金托管费划付指令，基金托管人复核后于次月前</w:t>
      </w:r>
      <w:r>
        <w:rPr>
          <w:rFonts w:ascii="宋体" w:hAnsi="宋体" w:hint="eastAsia"/>
          <w:sz w:val="24"/>
        </w:rPr>
        <w:t>3</w:t>
      </w:r>
      <w:r>
        <w:rPr>
          <w:rFonts w:ascii="宋体" w:hAnsi="宋体" w:hint="eastAsia"/>
          <w:sz w:val="24"/>
        </w:rPr>
        <w:t>个工作日内从基金财产中一次性支付给基金托管人。</w:t>
      </w:r>
    </w:p>
    <w:p w:rsidR="00A674F9" w:rsidRDefault="00CD789A">
      <w:pPr>
        <w:spacing w:line="360" w:lineRule="auto"/>
        <w:ind w:firstLineChars="200" w:firstLine="480"/>
        <w:rPr>
          <w:rFonts w:ascii="宋体" w:hAnsi="宋体"/>
          <w:sz w:val="24"/>
        </w:rPr>
      </w:pPr>
      <w:r>
        <w:rPr>
          <w:rFonts w:ascii="宋体" w:hAnsi="宋体" w:hint="eastAsia"/>
          <w:sz w:val="24"/>
        </w:rPr>
        <w:t>若遇法定节假日、休息日或不可抗力致使无法按时支付的，顺延至法定节假日、休息日结束之日起</w:t>
      </w:r>
      <w:r>
        <w:rPr>
          <w:rFonts w:ascii="宋体" w:hAnsi="宋体" w:hint="eastAsia"/>
          <w:sz w:val="24"/>
        </w:rPr>
        <w:t>2</w:t>
      </w:r>
      <w:r>
        <w:rPr>
          <w:rFonts w:ascii="宋体" w:hAnsi="宋体" w:hint="eastAsia"/>
          <w:sz w:val="24"/>
        </w:rPr>
        <w:t>个工作日内或不</w:t>
      </w:r>
      <w:r>
        <w:rPr>
          <w:rFonts w:ascii="宋体" w:hAnsi="宋体" w:hint="eastAsia"/>
          <w:sz w:val="24"/>
        </w:rPr>
        <w:t>可抗力情形消除之日起</w:t>
      </w:r>
      <w:r>
        <w:rPr>
          <w:rFonts w:ascii="宋体" w:hAnsi="宋体" w:hint="eastAsia"/>
          <w:sz w:val="24"/>
        </w:rPr>
        <w:t>2</w:t>
      </w:r>
      <w:r>
        <w:rPr>
          <w:rFonts w:ascii="宋体" w:hAnsi="宋体" w:hint="eastAsia"/>
          <w:sz w:val="24"/>
        </w:rPr>
        <w:t>个工作日内支付。</w:t>
      </w:r>
    </w:p>
    <w:p w:rsidR="00A674F9" w:rsidRDefault="00CD789A">
      <w:pPr>
        <w:spacing w:line="360" w:lineRule="auto"/>
        <w:ind w:firstLineChars="200" w:firstLine="480"/>
        <w:rPr>
          <w:rFonts w:ascii="宋体" w:hAnsi="宋体"/>
          <w:sz w:val="24"/>
        </w:rPr>
      </w:pPr>
      <w:r>
        <w:rPr>
          <w:rFonts w:ascii="宋体" w:hAnsi="宋体" w:hint="eastAsia"/>
          <w:sz w:val="24"/>
        </w:rPr>
        <w:t>（七）如果基金托管人发现基金管理人违反有关法律法规的有关规定和《基</w:t>
      </w:r>
      <w:r>
        <w:rPr>
          <w:rFonts w:ascii="宋体" w:hAnsi="宋体" w:hint="eastAsia"/>
          <w:sz w:val="24"/>
        </w:rPr>
        <w:lastRenderedPageBreak/>
        <w:t>金合同》、本协议的约定，从基金财产中列支费用，有权要求基金管理人做出书面解释，如果基金托管人认为基金管理人无正当或合理的理由，可以拒绝支付。</w:t>
      </w:r>
    </w:p>
    <w:p w:rsidR="00A674F9" w:rsidRDefault="00CD789A">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32" w:name="_Toc125361084"/>
      <w:bookmarkStart w:id="133" w:name="_Toc140002347"/>
      <w:bookmarkStart w:id="134" w:name="_Toc124749947"/>
      <w:r>
        <w:rPr>
          <w:rFonts w:ascii="宋体" w:hAnsi="宋体" w:cs="Arial" w:hint="eastAsia"/>
          <w:sz w:val="30"/>
        </w:rPr>
        <w:t>基金份额持有人名册的保管</w:t>
      </w:r>
      <w:bookmarkEnd w:id="132"/>
      <w:bookmarkEnd w:id="133"/>
      <w:bookmarkEnd w:id="134"/>
    </w:p>
    <w:p w:rsidR="00A674F9" w:rsidRDefault="00CD789A">
      <w:pPr>
        <w:spacing w:line="360" w:lineRule="auto"/>
        <w:ind w:firstLineChars="200" w:firstLine="480"/>
        <w:rPr>
          <w:rFonts w:ascii="宋体" w:hAnsi="宋体"/>
          <w:sz w:val="24"/>
          <w:szCs w:val="21"/>
        </w:rPr>
      </w:pPr>
      <w:r>
        <w:rPr>
          <w:rFonts w:ascii="宋体" w:hAnsi="宋体" w:hint="eastAsia"/>
          <w:sz w:val="24"/>
          <w:szCs w:val="21"/>
        </w:rPr>
        <w:t>基金管理人和基金托管人须分别妥善保管的基金份额持有人名册，包括</w:t>
      </w:r>
      <w:r>
        <w:rPr>
          <w:rFonts w:ascii="宋体" w:hAnsi="宋体" w:cs="Arial" w:hint="eastAsia"/>
          <w:sz w:val="24"/>
        </w:rPr>
        <w:t>《基金合同》生效日、《基金合同》终止日、基金份额持有人大会权利登记日、每年</w:t>
      </w:r>
      <w:r>
        <w:rPr>
          <w:rFonts w:ascii="宋体" w:hAnsi="宋体" w:cs="Arial" w:hint="eastAsia"/>
          <w:sz w:val="24"/>
        </w:rPr>
        <w:t>6</w:t>
      </w:r>
      <w:r>
        <w:rPr>
          <w:rFonts w:ascii="宋体" w:hAnsi="宋体" w:cs="Arial" w:hint="eastAsia"/>
          <w:sz w:val="24"/>
        </w:rPr>
        <w:t>月</w:t>
      </w:r>
      <w:r>
        <w:rPr>
          <w:rFonts w:ascii="宋体" w:hAnsi="宋体" w:cs="Arial" w:hint="eastAsia"/>
          <w:sz w:val="24"/>
        </w:rPr>
        <w:t>30</w:t>
      </w:r>
      <w:r>
        <w:rPr>
          <w:rFonts w:ascii="宋体" w:hAnsi="宋体" w:cs="Arial" w:hint="eastAsia"/>
          <w:sz w:val="24"/>
        </w:rPr>
        <w:t>日、</w:t>
      </w:r>
      <w:r>
        <w:rPr>
          <w:rFonts w:ascii="宋体" w:hAnsi="宋体" w:cs="Arial" w:hint="eastAsia"/>
          <w:sz w:val="24"/>
        </w:rPr>
        <w:t>12</w:t>
      </w:r>
      <w:r>
        <w:rPr>
          <w:rFonts w:ascii="宋体" w:hAnsi="宋体" w:cs="Arial" w:hint="eastAsia"/>
          <w:sz w:val="24"/>
        </w:rPr>
        <w:t>月</w:t>
      </w:r>
      <w:r>
        <w:rPr>
          <w:rFonts w:ascii="宋体" w:hAnsi="宋体" w:cs="Arial" w:hint="eastAsia"/>
          <w:sz w:val="24"/>
        </w:rPr>
        <w:t>31</w:t>
      </w:r>
      <w:r>
        <w:rPr>
          <w:rFonts w:ascii="宋体" w:hAnsi="宋体" w:cs="Arial" w:hint="eastAsia"/>
          <w:sz w:val="24"/>
        </w:rPr>
        <w:t>日的基金份额持有人名册。</w:t>
      </w:r>
      <w:r>
        <w:rPr>
          <w:rFonts w:ascii="宋体" w:hAnsi="宋体" w:hint="eastAsia"/>
          <w:sz w:val="24"/>
          <w:szCs w:val="21"/>
        </w:rPr>
        <w:t>基金份额持有人名册的内容必须包括基金份额持有人的名称和持</w:t>
      </w:r>
      <w:r>
        <w:rPr>
          <w:rFonts w:ascii="宋体" w:hAnsi="宋体" w:hint="eastAsia"/>
          <w:sz w:val="24"/>
          <w:szCs w:val="21"/>
        </w:rPr>
        <w:t>有的基金份额。</w:t>
      </w:r>
    </w:p>
    <w:p w:rsidR="00A674F9" w:rsidRDefault="00CD789A">
      <w:pPr>
        <w:spacing w:line="360" w:lineRule="auto"/>
        <w:ind w:firstLineChars="200" w:firstLine="480"/>
        <w:rPr>
          <w:rFonts w:ascii="宋体" w:hAnsi="宋体" w:cs="Arial"/>
          <w:sz w:val="24"/>
        </w:rPr>
      </w:pPr>
      <w:r>
        <w:rPr>
          <w:rFonts w:ascii="宋体" w:hAnsi="宋体" w:hint="eastAsia"/>
          <w:sz w:val="24"/>
          <w:szCs w:val="21"/>
        </w:rPr>
        <w:t>基金份额持有人名册由基金的</w:t>
      </w:r>
      <w:r>
        <w:rPr>
          <w:rFonts w:ascii="宋体" w:hAnsi="宋体" w:cs="Arial" w:hint="eastAsia"/>
          <w:sz w:val="24"/>
        </w:rPr>
        <w:t>基金注册登记机构根据基金管理人的指令编制和保管</w:t>
      </w:r>
      <w:r>
        <w:rPr>
          <w:rFonts w:hint="eastAsia"/>
          <w:sz w:val="24"/>
        </w:rPr>
        <w:t>，基金管理人和基金托管人应按照目前相关规则分别保管基金份额持有人名册。保管方式可以采用电子或文档的形式。保管期限为</w:t>
      </w:r>
      <w:r>
        <w:rPr>
          <w:rFonts w:hint="eastAsia"/>
          <w:sz w:val="24"/>
        </w:rPr>
        <w:t>15</w:t>
      </w:r>
      <w:r>
        <w:rPr>
          <w:rFonts w:hint="eastAsia"/>
          <w:sz w:val="24"/>
        </w:rPr>
        <w:t>年。</w:t>
      </w:r>
    </w:p>
    <w:p w:rsidR="00A674F9" w:rsidRDefault="00CD789A">
      <w:pPr>
        <w:spacing w:line="360" w:lineRule="auto"/>
        <w:ind w:firstLineChars="200" w:firstLine="480"/>
        <w:rPr>
          <w:rFonts w:ascii="宋体" w:hAnsi="宋体"/>
          <w:sz w:val="24"/>
          <w:szCs w:val="21"/>
        </w:rPr>
      </w:pPr>
      <w:r>
        <w:rPr>
          <w:rFonts w:ascii="宋体" w:hAnsi="宋体" w:cs="Arial" w:hint="eastAsia"/>
          <w:sz w:val="24"/>
        </w:rPr>
        <w:t>基金管理人应当及时向基金托管人提交下列日期的基金份额持有人名册：《基金合同》生效日、《基金合同》终止日、基金份额持有人大会权利登记日、每年</w:t>
      </w:r>
      <w:r>
        <w:rPr>
          <w:rFonts w:ascii="宋体" w:hAnsi="宋体" w:cs="Arial" w:hint="eastAsia"/>
          <w:sz w:val="24"/>
        </w:rPr>
        <w:t>6</w:t>
      </w:r>
      <w:r>
        <w:rPr>
          <w:rFonts w:ascii="宋体" w:hAnsi="宋体" w:cs="Arial" w:hint="eastAsia"/>
          <w:sz w:val="24"/>
        </w:rPr>
        <w:t>月</w:t>
      </w:r>
      <w:r>
        <w:rPr>
          <w:rFonts w:ascii="宋体" w:hAnsi="宋体" w:cs="Arial" w:hint="eastAsia"/>
          <w:sz w:val="24"/>
        </w:rPr>
        <w:t>30</w:t>
      </w:r>
      <w:r>
        <w:rPr>
          <w:rFonts w:ascii="宋体" w:hAnsi="宋体" w:cs="Arial" w:hint="eastAsia"/>
          <w:sz w:val="24"/>
        </w:rPr>
        <w:t>日、每年</w:t>
      </w:r>
      <w:r>
        <w:rPr>
          <w:rFonts w:ascii="宋体" w:hAnsi="宋体" w:cs="Arial" w:hint="eastAsia"/>
          <w:sz w:val="24"/>
        </w:rPr>
        <w:t>12</w:t>
      </w:r>
      <w:r>
        <w:rPr>
          <w:rFonts w:ascii="宋体" w:hAnsi="宋体" w:cs="Arial" w:hint="eastAsia"/>
          <w:sz w:val="24"/>
        </w:rPr>
        <w:t>月</w:t>
      </w:r>
      <w:r>
        <w:rPr>
          <w:rFonts w:ascii="宋体" w:hAnsi="宋体" w:cs="Arial" w:hint="eastAsia"/>
          <w:sz w:val="24"/>
        </w:rPr>
        <w:t>31</w:t>
      </w:r>
      <w:r>
        <w:rPr>
          <w:rFonts w:ascii="宋体" w:hAnsi="宋体" w:cs="Arial" w:hint="eastAsia"/>
          <w:sz w:val="24"/>
        </w:rPr>
        <w:t>日的基金份额持有人名册。基金份额持有人名册的内容必须包括基金份额持有人的名称和持有的基金份额。其中每年</w:t>
      </w:r>
      <w:r>
        <w:rPr>
          <w:rFonts w:ascii="宋体" w:hAnsi="宋体" w:cs="Arial" w:hint="eastAsia"/>
          <w:sz w:val="24"/>
        </w:rPr>
        <w:t>12</w:t>
      </w:r>
      <w:r>
        <w:rPr>
          <w:rFonts w:ascii="宋体" w:hAnsi="宋体" w:cs="Arial" w:hint="eastAsia"/>
          <w:sz w:val="24"/>
        </w:rPr>
        <w:t>月</w:t>
      </w:r>
      <w:r>
        <w:rPr>
          <w:rFonts w:ascii="宋体" w:hAnsi="宋体" w:cs="Arial" w:hint="eastAsia"/>
          <w:sz w:val="24"/>
        </w:rPr>
        <w:t>31</w:t>
      </w:r>
      <w:r>
        <w:rPr>
          <w:rFonts w:ascii="宋体" w:hAnsi="宋体" w:cs="Arial" w:hint="eastAsia"/>
          <w:sz w:val="24"/>
        </w:rPr>
        <w:t>日的基金份额持有人名册应</w:t>
      </w:r>
      <w:r>
        <w:rPr>
          <w:rFonts w:ascii="宋体" w:hAnsi="宋体" w:cs="Arial" w:hint="eastAsia"/>
          <w:sz w:val="24"/>
        </w:rPr>
        <w:t>于下月前十个工作日内提交；《基金合同》生效日、《基金合同》终止日等涉及到基金重要事项日期的基金份额持有人名册应于发生日后十个工作日内提交。</w:t>
      </w:r>
    </w:p>
    <w:p w:rsidR="00A674F9" w:rsidRDefault="00CD789A">
      <w:pPr>
        <w:spacing w:line="360" w:lineRule="auto"/>
        <w:ind w:firstLineChars="200" w:firstLine="480"/>
        <w:rPr>
          <w:rFonts w:ascii="宋体" w:hAnsi="宋体" w:cs="Arial"/>
          <w:sz w:val="24"/>
        </w:rPr>
      </w:pPr>
      <w:r>
        <w:rPr>
          <w:rFonts w:ascii="宋体" w:hAnsi="宋体" w:cs="Arial" w:hint="eastAsia"/>
          <w:sz w:val="24"/>
        </w:rPr>
        <w:t>基金托管人以电子版形式妥善保管基金份额持有人名册，并定期刻成光盘备份，保存期限为</w:t>
      </w:r>
      <w:r>
        <w:rPr>
          <w:rFonts w:ascii="宋体" w:hAnsi="宋体" w:cs="Arial" w:hint="eastAsia"/>
          <w:sz w:val="24"/>
        </w:rPr>
        <w:t>15</w:t>
      </w:r>
      <w:r>
        <w:rPr>
          <w:rFonts w:ascii="宋体" w:hAnsi="宋体" w:cs="Arial" w:hint="eastAsia"/>
          <w:sz w:val="24"/>
        </w:rPr>
        <w:t>年。基金托管人不得将所保管的基金份额持有人名册用于基金托管业务以外的其他用途，并应遵守保密义务。</w:t>
      </w:r>
      <w:bookmarkStart w:id="135" w:name="_Hlt112616834"/>
      <w:bookmarkEnd w:id="135"/>
    </w:p>
    <w:p w:rsidR="00A674F9" w:rsidRDefault="00CD789A">
      <w:pPr>
        <w:spacing w:line="360" w:lineRule="auto"/>
        <w:ind w:firstLineChars="200" w:firstLine="480"/>
        <w:rPr>
          <w:rFonts w:ascii="宋体" w:hAnsi="宋体" w:cs="Arial"/>
          <w:sz w:val="24"/>
        </w:rPr>
      </w:pPr>
      <w:r>
        <w:rPr>
          <w:rFonts w:ascii="宋体" w:hAnsi="宋体" w:cs="Arial" w:hint="eastAsia"/>
          <w:sz w:val="24"/>
        </w:rPr>
        <w:t>若基金管理人或基金托管人由于自身原因无法妥善保管基金份额持有人名册，应按有关法规规定各自</w:t>
      </w:r>
      <w:r>
        <w:rPr>
          <w:rFonts w:ascii="宋体" w:hAnsi="宋体" w:hint="eastAsia"/>
          <w:sz w:val="24"/>
          <w:szCs w:val="21"/>
        </w:rPr>
        <w:t>承担相应的责任。</w:t>
      </w:r>
    </w:p>
    <w:p w:rsidR="00A674F9" w:rsidRDefault="00CD789A">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36" w:name="_Toc140002348"/>
      <w:bookmarkStart w:id="137" w:name="_Toc124749948"/>
      <w:bookmarkStart w:id="138" w:name="_Toc125361085"/>
      <w:r>
        <w:rPr>
          <w:rFonts w:ascii="宋体" w:hAnsi="宋体" w:cs="Arial" w:hint="eastAsia"/>
          <w:sz w:val="30"/>
        </w:rPr>
        <w:t>基金有关文件和档案的保存</w:t>
      </w:r>
      <w:bookmarkEnd w:id="136"/>
      <w:bookmarkEnd w:id="137"/>
      <w:bookmarkEnd w:id="138"/>
    </w:p>
    <w:p w:rsidR="00A674F9" w:rsidRDefault="00CD789A">
      <w:pPr>
        <w:spacing w:line="360" w:lineRule="auto"/>
        <w:ind w:firstLineChars="200" w:firstLine="480"/>
        <w:rPr>
          <w:rFonts w:ascii="宋体" w:hAnsi="宋体"/>
          <w:sz w:val="24"/>
          <w:szCs w:val="21"/>
        </w:rPr>
      </w:pPr>
      <w:r>
        <w:rPr>
          <w:rFonts w:ascii="宋体" w:hAnsi="宋体" w:hint="eastAsia"/>
          <w:sz w:val="24"/>
          <w:szCs w:val="21"/>
        </w:rPr>
        <w:t>基金管理人、基金托管人按各自职责完整保存原始凭证、记账凭证、基金账册、交易记录和重要合同等，保存期限不少于</w:t>
      </w:r>
      <w:r>
        <w:rPr>
          <w:rFonts w:ascii="宋体" w:hAnsi="宋体"/>
          <w:sz w:val="24"/>
          <w:szCs w:val="21"/>
        </w:rPr>
        <w:t>15</w:t>
      </w:r>
      <w:r>
        <w:rPr>
          <w:rFonts w:ascii="宋体" w:hAnsi="宋体" w:hint="eastAsia"/>
          <w:sz w:val="24"/>
          <w:szCs w:val="21"/>
        </w:rPr>
        <w:t>年，对相关信息负有保密义务，但司法强制检查情形及法律法规规定的其它情形除外。其中，基金管理人应保存</w:t>
      </w:r>
      <w:r>
        <w:rPr>
          <w:rFonts w:ascii="宋体" w:hAnsi="宋体" w:hint="eastAsia"/>
          <w:sz w:val="24"/>
          <w:szCs w:val="21"/>
        </w:rPr>
        <w:lastRenderedPageBreak/>
        <w:t>基金财产管理业务活动的记录、账册、报表和其他相关资料，基金托管人应保存基金托管业务活动的记录、账册、报表和其他相关资料。</w:t>
      </w:r>
    </w:p>
    <w:p w:rsidR="00A674F9" w:rsidRDefault="00CD789A">
      <w:pPr>
        <w:spacing w:line="360" w:lineRule="auto"/>
        <w:ind w:firstLineChars="200" w:firstLine="480"/>
        <w:rPr>
          <w:rFonts w:ascii="宋体" w:hAnsi="宋体"/>
          <w:sz w:val="24"/>
          <w:szCs w:val="21"/>
        </w:rPr>
      </w:pPr>
      <w:r>
        <w:rPr>
          <w:rFonts w:ascii="宋体" w:hAnsi="宋体" w:hint="eastAsia"/>
          <w:sz w:val="24"/>
          <w:szCs w:val="21"/>
        </w:rPr>
        <w:t>基金管理人签署重大合同文本后，应及时将合同文本正本送达基金托管人处。基金管理人应及时将与本基金账务处理、资金划拨等有关的合同、协议传真给基金托管人。</w:t>
      </w:r>
    </w:p>
    <w:p w:rsidR="00A674F9" w:rsidRDefault="00CD789A">
      <w:pPr>
        <w:spacing w:line="360" w:lineRule="auto"/>
        <w:ind w:firstLineChars="200" w:firstLine="480"/>
        <w:rPr>
          <w:rFonts w:ascii="宋体" w:hAnsi="宋体"/>
          <w:sz w:val="24"/>
          <w:szCs w:val="21"/>
        </w:rPr>
      </w:pPr>
      <w:r>
        <w:rPr>
          <w:rFonts w:ascii="宋体" w:hAnsi="宋体" w:hint="eastAsia"/>
          <w:sz w:val="24"/>
          <w:szCs w:val="21"/>
        </w:rPr>
        <w:t>基金管理人或基金托管人变更后，未</w:t>
      </w:r>
      <w:r>
        <w:rPr>
          <w:rFonts w:ascii="宋体" w:hAnsi="宋体" w:hint="eastAsia"/>
          <w:sz w:val="24"/>
          <w:szCs w:val="21"/>
        </w:rPr>
        <w:t>变更的一方有义务协助接任人接受基金的有关文件。</w:t>
      </w:r>
    </w:p>
    <w:p w:rsidR="00A674F9" w:rsidRDefault="00CD789A">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39" w:name="_Toc123626180"/>
      <w:bookmarkStart w:id="140" w:name="_Toc140002349"/>
      <w:bookmarkStart w:id="141" w:name="_Toc124749949"/>
      <w:bookmarkStart w:id="142" w:name="_Toc125361086"/>
      <w:bookmarkStart w:id="143" w:name="_Toc124749236"/>
      <w:r>
        <w:rPr>
          <w:rFonts w:ascii="宋体" w:hAnsi="宋体" w:cs="Arial" w:hint="eastAsia"/>
          <w:sz w:val="30"/>
        </w:rPr>
        <w:t>基金管理人和基金托管</w:t>
      </w:r>
      <w:bookmarkEnd w:id="139"/>
      <w:r>
        <w:rPr>
          <w:rFonts w:ascii="宋体" w:hAnsi="宋体" w:cs="Arial" w:hint="eastAsia"/>
          <w:sz w:val="30"/>
        </w:rPr>
        <w:t>人的更换</w:t>
      </w:r>
      <w:bookmarkEnd w:id="140"/>
      <w:bookmarkEnd w:id="141"/>
      <w:bookmarkEnd w:id="142"/>
      <w:bookmarkEnd w:id="143"/>
    </w:p>
    <w:p w:rsidR="00A674F9" w:rsidRDefault="00CD789A" w:rsidP="00CA205C">
      <w:pPr>
        <w:pStyle w:val="2"/>
        <w:keepNext w:val="0"/>
        <w:keepLines w:val="0"/>
        <w:autoSpaceDE w:val="0"/>
        <w:autoSpaceDN w:val="0"/>
        <w:adjustRightInd w:val="0"/>
        <w:spacing w:before="0" w:after="0" w:line="360" w:lineRule="auto"/>
        <w:ind w:firstLineChars="147" w:firstLine="353"/>
        <w:textAlignment w:val="baseline"/>
        <w:rPr>
          <w:rFonts w:ascii="宋体" w:eastAsia="宋体" w:hAnsi="宋体" w:cs="Arial"/>
          <w:b w:val="0"/>
          <w:bCs w:val="0"/>
          <w:kern w:val="0"/>
          <w:sz w:val="24"/>
        </w:rPr>
      </w:pPr>
      <w:bookmarkStart w:id="144" w:name="_Toc22454474"/>
      <w:bookmarkStart w:id="145" w:name="_Toc48703925"/>
      <w:bookmarkStart w:id="146" w:name="_Toc123705485"/>
      <w:bookmarkStart w:id="147" w:name="_Toc15118246"/>
      <w:bookmarkStart w:id="148" w:name="_Toc79392594"/>
      <w:bookmarkStart w:id="149" w:name="_Toc57530253"/>
      <w:r>
        <w:rPr>
          <w:rFonts w:ascii="宋体" w:eastAsia="宋体" w:hAnsi="宋体" w:cs="Arial" w:hint="eastAsia"/>
          <w:b w:val="0"/>
          <w:bCs w:val="0"/>
          <w:kern w:val="0"/>
          <w:sz w:val="24"/>
        </w:rPr>
        <w:t>（一）基金管理人的更换</w:t>
      </w:r>
      <w:bookmarkEnd w:id="144"/>
      <w:bookmarkEnd w:id="145"/>
      <w:bookmarkEnd w:id="146"/>
    </w:p>
    <w:p w:rsidR="00A674F9" w:rsidRDefault="00CD789A">
      <w:pPr>
        <w:spacing w:line="360" w:lineRule="auto"/>
        <w:ind w:firstLineChars="200" w:firstLine="480"/>
        <w:rPr>
          <w:rFonts w:ascii="宋体" w:hAnsi="宋体"/>
          <w:sz w:val="24"/>
          <w:szCs w:val="21"/>
        </w:rPr>
      </w:pPr>
      <w:bookmarkStart w:id="150" w:name="_Toc22454475"/>
      <w:bookmarkStart w:id="151" w:name="_Toc48703926"/>
      <w:r>
        <w:rPr>
          <w:rFonts w:ascii="宋体" w:hAnsi="宋体" w:hint="eastAsia"/>
          <w:sz w:val="24"/>
          <w:szCs w:val="21"/>
        </w:rPr>
        <w:t>1</w:t>
      </w:r>
      <w:r>
        <w:rPr>
          <w:rFonts w:ascii="宋体" w:hAnsi="宋体" w:hint="eastAsia"/>
          <w:sz w:val="24"/>
          <w:szCs w:val="21"/>
        </w:rPr>
        <w:t>、基金管理人的更换条件</w:t>
      </w:r>
      <w:bookmarkEnd w:id="150"/>
      <w:bookmarkEnd w:id="151"/>
    </w:p>
    <w:p w:rsidR="00A674F9" w:rsidRDefault="00CD789A">
      <w:pPr>
        <w:spacing w:line="360" w:lineRule="auto"/>
        <w:ind w:firstLineChars="200" w:firstLine="480"/>
        <w:rPr>
          <w:rFonts w:ascii="宋体" w:hAnsi="宋体"/>
          <w:sz w:val="24"/>
          <w:szCs w:val="21"/>
        </w:rPr>
      </w:pPr>
      <w:r>
        <w:rPr>
          <w:rFonts w:ascii="宋体" w:hAnsi="宋体" w:hint="eastAsia"/>
          <w:sz w:val="24"/>
          <w:szCs w:val="21"/>
        </w:rPr>
        <w:t>有下列情形之一的，经中国证监会批准，可以更换基金管理人：</w:t>
      </w:r>
    </w:p>
    <w:p w:rsidR="00A674F9" w:rsidRDefault="00CD789A">
      <w:pPr>
        <w:spacing w:line="360" w:lineRule="auto"/>
        <w:ind w:firstLineChars="200" w:firstLine="480"/>
        <w:rPr>
          <w:rFonts w:ascii="宋体" w:hAnsi="宋体"/>
          <w:sz w:val="24"/>
          <w:szCs w:val="21"/>
        </w:rPr>
      </w:pPr>
      <w:r>
        <w:rPr>
          <w:rFonts w:ascii="宋体" w:hAnsi="宋体" w:hint="eastAsia"/>
          <w:sz w:val="24"/>
          <w:szCs w:val="21"/>
        </w:rPr>
        <w:t xml:space="preserve">(1) </w:t>
      </w:r>
      <w:r>
        <w:rPr>
          <w:rFonts w:ascii="宋体" w:hAnsi="宋体" w:hint="eastAsia"/>
          <w:sz w:val="24"/>
          <w:szCs w:val="21"/>
        </w:rPr>
        <w:t>被依法取消基金管理人资格；</w:t>
      </w:r>
      <w:bookmarkStart w:id="152" w:name="_Hlt80887029"/>
      <w:bookmarkEnd w:id="152"/>
    </w:p>
    <w:p w:rsidR="00A674F9" w:rsidRDefault="00CD789A">
      <w:pPr>
        <w:spacing w:line="360" w:lineRule="auto"/>
        <w:ind w:firstLineChars="200" w:firstLine="480"/>
        <w:rPr>
          <w:rFonts w:ascii="宋体" w:hAnsi="宋体"/>
          <w:sz w:val="24"/>
          <w:szCs w:val="21"/>
        </w:rPr>
      </w:pPr>
      <w:r>
        <w:rPr>
          <w:rFonts w:ascii="宋体" w:hAnsi="宋体" w:hint="eastAsia"/>
          <w:sz w:val="24"/>
          <w:szCs w:val="21"/>
        </w:rPr>
        <w:t xml:space="preserve">(2) </w:t>
      </w:r>
      <w:r>
        <w:rPr>
          <w:rFonts w:ascii="宋体" w:hAnsi="宋体" w:hint="eastAsia"/>
          <w:sz w:val="24"/>
          <w:szCs w:val="21"/>
        </w:rPr>
        <w:t>被基金份额持有人大会解任</w:t>
      </w:r>
      <w:r>
        <w:rPr>
          <w:rFonts w:ascii="宋体" w:hAnsi="宋体"/>
          <w:sz w:val="24"/>
          <w:szCs w:val="21"/>
        </w:rPr>
        <w:t>；</w:t>
      </w:r>
    </w:p>
    <w:p w:rsidR="00A674F9" w:rsidRDefault="00CD789A">
      <w:pPr>
        <w:spacing w:line="360" w:lineRule="auto"/>
        <w:ind w:firstLineChars="200" w:firstLine="480"/>
        <w:rPr>
          <w:rFonts w:ascii="宋体" w:hAnsi="宋体"/>
          <w:sz w:val="24"/>
          <w:szCs w:val="21"/>
        </w:rPr>
      </w:pPr>
      <w:r>
        <w:rPr>
          <w:rFonts w:ascii="宋体" w:hAnsi="宋体" w:hint="eastAsia"/>
          <w:sz w:val="24"/>
          <w:szCs w:val="21"/>
        </w:rPr>
        <w:t xml:space="preserve">(3) </w:t>
      </w:r>
      <w:r>
        <w:rPr>
          <w:rFonts w:ascii="宋体" w:hAnsi="宋体" w:hint="eastAsia"/>
          <w:sz w:val="24"/>
          <w:szCs w:val="21"/>
        </w:rPr>
        <w:t>依法解散、被依法撤销或被依法宣告破产</w:t>
      </w:r>
      <w:r>
        <w:rPr>
          <w:rFonts w:ascii="宋体" w:hAnsi="宋体"/>
          <w:sz w:val="24"/>
          <w:szCs w:val="21"/>
        </w:rPr>
        <w:t>；</w:t>
      </w:r>
    </w:p>
    <w:p w:rsidR="00A674F9" w:rsidRDefault="00CD789A">
      <w:pPr>
        <w:spacing w:line="360" w:lineRule="auto"/>
        <w:ind w:firstLineChars="200" w:firstLine="480"/>
        <w:rPr>
          <w:rFonts w:ascii="宋体" w:hAnsi="宋体"/>
          <w:sz w:val="24"/>
          <w:szCs w:val="21"/>
        </w:rPr>
      </w:pPr>
      <w:r>
        <w:rPr>
          <w:rFonts w:ascii="宋体" w:hAnsi="宋体" w:hint="eastAsia"/>
          <w:sz w:val="24"/>
          <w:szCs w:val="21"/>
        </w:rPr>
        <w:t xml:space="preserve">(4) </w:t>
      </w:r>
      <w:r>
        <w:rPr>
          <w:rFonts w:ascii="宋体" w:hAnsi="宋体" w:hint="eastAsia"/>
          <w:sz w:val="24"/>
          <w:szCs w:val="21"/>
        </w:rPr>
        <w:t>法律法规及中国证监会规定的和《基金合同》规定的其它情形。</w:t>
      </w:r>
    </w:p>
    <w:p w:rsidR="00A674F9" w:rsidRDefault="00CD789A">
      <w:pPr>
        <w:spacing w:line="360" w:lineRule="auto"/>
        <w:ind w:firstLineChars="200" w:firstLine="480"/>
        <w:rPr>
          <w:rFonts w:ascii="宋体" w:hAnsi="宋体"/>
          <w:sz w:val="24"/>
          <w:szCs w:val="21"/>
        </w:rPr>
      </w:pPr>
      <w:bookmarkStart w:id="153" w:name="_Toc22454476"/>
      <w:bookmarkStart w:id="154" w:name="_Toc48703927"/>
      <w:r>
        <w:rPr>
          <w:rFonts w:ascii="宋体" w:hAnsi="宋体" w:hint="eastAsia"/>
          <w:sz w:val="24"/>
          <w:szCs w:val="21"/>
        </w:rPr>
        <w:t>2</w:t>
      </w:r>
      <w:r>
        <w:rPr>
          <w:rFonts w:ascii="宋体" w:hAnsi="宋体" w:hint="eastAsia"/>
          <w:sz w:val="24"/>
          <w:szCs w:val="21"/>
        </w:rPr>
        <w:t>、更换基金管理人的程序</w:t>
      </w:r>
      <w:bookmarkEnd w:id="153"/>
      <w:bookmarkEnd w:id="154"/>
    </w:p>
    <w:p w:rsidR="00A674F9" w:rsidRDefault="00CD789A">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1</w:t>
      </w:r>
      <w:r>
        <w:rPr>
          <w:rFonts w:ascii="宋体" w:hAnsi="宋体" w:hint="eastAsia"/>
          <w:sz w:val="24"/>
          <w:szCs w:val="21"/>
        </w:rPr>
        <w:t>）提名：新任基金管理人由基金托管人或由</w:t>
      </w:r>
      <w:r>
        <w:rPr>
          <w:bCs/>
          <w:sz w:val="24"/>
        </w:rPr>
        <w:t>由单独或合计</w:t>
      </w:r>
      <w:r>
        <w:rPr>
          <w:rFonts w:ascii="宋体" w:hAnsi="宋体" w:hint="eastAsia"/>
          <w:sz w:val="24"/>
          <w:szCs w:val="21"/>
        </w:rPr>
        <w:t>持有</w:t>
      </w:r>
      <w:r>
        <w:rPr>
          <w:rFonts w:ascii="宋体" w:hAnsi="宋体" w:hint="eastAsia"/>
          <w:sz w:val="24"/>
          <w:szCs w:val="21"/>
        </w:rPr>
        <w:t>10%</w:t>
      </w:r>
      <w:r>
        <w:rPr>
          <w:rFonts w:ascii="宋体" w:hAnsi="宋体" w:hint="eastAsia"/>
          <w:sz w:val="24"/>
          <w:szCs w:val="21"/>
        </w:rPr>
        <w:t>以上（含</w:t>
      </w:r>
      <w:r>
        <w:rPr>
          <w:rFonts w:ascii="宋体" w:hAnsi="宋体" w:hint="eastAsia"/>
          <w:sz w:val="24"/>
          <w:szCs w:val="21"/>
        </w:rPr>
        <w:t>10%</w:t>
      </w:r>
      <w:r>
        <w:rPr>
          <w:rFonts w:ascii="宋体" w:hAnsi="宋体" w:hint="eastAsia"/>
          <w:sz w:val="24"/>
          <w:szCs w:val="21"/>
        </w:rPr>
        <w:t>）基金份额的基金份额持有人提名；</w:t>
      </w:r>
    </w:p>
    <w:p w:rsidR="00A674F9" w:rsidRDefault="00CD789A">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2</w:t>
      </w:r>
      <w:r>
        <w:rPr>
          <w:rFonts w:ascii="宋体" w:hAnsi="宋体" w:hint="eastAsia"/>
          <w:sz w:val="24"/>
          <w:szCs w:val="21"/>
        </w:rPr>
        <w:t>）决议：基金份额持有人大会在基金管理人职责终止后</w:t>
      </w:r>
      <w:r>
        <w:rPr>
          <w:rFonts w:ascii="宋体" w:hAnsi="宋体" w:hint="eastAsia"/>
          <w:sz w:val="24"/>
          <w:szCs w:val="21"/>
        </w:rPr>
        <w:t>6</w:t>
      </w:r>
      <w:r>
        <w:rPr>
          <w:rFonts w:ascii="宋体" w:hAnsi="宋体" w:hint="eastAsia"/>
          <w:sz w:val="24"/>
          <w:szCs w:val="21"/>
        </w:rPr>
        <w:t>个月内对被提名的基金管理人形成决议，该决议需经参加大会的基金份额持有人所持表决权的</w:t>
      </w:r>
      <w:r>
        <w:rPr>
          <w:rFonts w:ascii="宋体" w:hAnsi="宋体" w:hint="eastAsia"/>
          <w:sz w:val="24"/>
          <w:szCs w:val="21"/>
        </w:rPr>
        <w:t>2/3</w:t>
      </w:r>
      <w:r>
        <w:rPr>
          <w:rFonts w:ascii="宋体" w:hAnsi="宋体" w:hint="eastAsia"/>
          <w:sz w:val="24"/>
          <w:szCs w:val="21"/>
        </w:rPr>
        <w:t>以上（含</w:t>
      </w:r>
      <w:r>
        <w:rPr>
          <w:rFonts w:ascii="宋体" w:hAnsi="宋体" w:hint="eastAsia"/>
          <w:sz w:val="24"/>
          <w:szCs w:val="21"/>
        </w:rPr>
        <w:t>2/3</w:t>
      </w:r>
      <w:r>
        <w:rPr>
          <w:rFonts w:ascii="宋体" w:hAnsi="宋体" w:hint="eastAsia"/>
          <w:sz w:val="24"/>
          <w:szCs w:val="21"/>
        </w:rPr>
        <w:t>）表决通过，并自表决通过之日起生效；</w:t>
      </w:r>
    </w:p>
    <w:p w:rsidR="00A674F9" w:rsidRDefault="00CD789A">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3</w:t>
      </w:r>
      <w:r>
        <w:rPr>
          <w:rFonts w:ascii="宋体" w:hAnsi="宋体" w:hint="eastAsia"/>
          <w:sz w:val="24"/>
          <w:szCs w:val="21"/>
        </w:rPr>
        <w:t>）临时基金管理人：新任基金管理人产生之前，由中国证监会指定临时基金管理人；</w:t>
      </w:r>
    </w:p>
    <w:p w:rsidR="00A674F9" w:rsidRDefault="00CD789A">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4</w:t>
      </w:r>
      <w:r>
        <w:rPr>
          <w:rFonts w:ascii="宋体" w:hAnsi="宋体" w:hint="eastAsia"/>
          <w:sz w:val="24"/>
          <w:szCs w:val="21"/>
        </w:rPr>
        <w:t>）备案：基金份额持有人大会选任基金管理人的决议须报中国证监会备案；</w:t>
      </w:r>
    </w:p>
    <w:p w:rsidR="00A674F9" w:rsidRDefault="00CD789A">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5</w:t>
      </w:r>
      <w:r>
        <w:rPr>
          <w:rFonts w:ascii="宋体" w:hAnsi="宋体" w:hint="eastAsia"/>
          <w:sz w:val="24"/>
          <w:szCs w:val="21"/>
        </w:rPr>
        <w:t>）公告：基金管理人更换后，由基金托管人在决议生效后</w:t>
      </w:r>
      <w:r>
        <w:rPr>
          <w:rFonts w:ascii="宋体" w:hAnsi="宋体" w:hint="eastAsia"/>
          <w:sz w:val="24"/>
          <w:szCs w:val="21"/>
        </w:rPr>
        <w:t>2</w:t>
      </w:r>
      <w:r>
        <w:rPr>
          <w:rFonts w:ascii="宋体" w:hAnsi="宋体" w:hint="eastAsia"/>
          <w:sz w:val="24"/>
          <w:szCs w:val="21"/>
        </w:rPr>
        <w:t>日内在指定媒介公告。新任基金管理人与原任基金管理人进行资产管理的交接手续，并与基金托管人核对资产总值。</w:t>
      </w:r>
    </w:p>
    <w:p w:rsidR="00A674F9" w:rsidRDefault="00CD789A">
      <w:pPr>
        <w:spacing w:line="360" w:lineRule="auto"/>
        <w:ind w:firstLineChars="200" w:firstLine="480"/>
        <w:rPr>
          <w:rFonts w:ascii="宋体" w:hAnsi="宋体"/>
          <w:sz w:val="24"/>
          <w:szCs w:val="21"/>
        </w:rPr>
      </w:pPr>
      <w:r>
        <w:rPr>
          <w:rFonts w:ascii="宋体" w:hAnsi="宋体" w:hint="eastAsia"/>
          <w:sz w:val="24"/>
          <w:szCs w:val="21"/>
        </w:rPr>
        <w:lastRenderedPageBreak/>
        <w:t>（</w:t>
      </w:r>
      <w:r>
        <w:rPr>
          <w:rFonts w:ascii="宋体" w:hAnsi="宋体" w:hint="eastAsia"/>
          <w:sz w:val="24"/>
          <w:szCs w:val="21"/>
        </w:rPr>
        <w:t>6</w:t>
      </w:r>
      <w:r>
        <w:rPr>
          <w:rFonts w:ascii="宋体" w:hAnsi="宋体" w:hint="eastAsia"/>
          <w:sz w:val="24"/>
          <w:szCs w:val="21"/>
        </w:rPr>
        <w:t>）审计：基金管理人职责终止的，应当按照法律法规规定聘请会计师事务所对基金财产进行审计，并将审计结果予以公告，同时报中国证监会备案；</w:t>
      </w:r>
    </w:p>
    <w:p w:rsidR="00A674F9" w:rsidRDefault="00CD789A">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7</w:t>
      </w:r>
      <w:r>
        <w:rPr>
          <w:rFonts w:ascii="宋体" w:hAnsi="宋体" w:hint="eastAsia"/>
          <w:sz w:val="24"/>
          <w:szCs w:val="21"/>
        </w:rPr>
        <w:t>）基金名称变更：基金管理人更换后，如果原任或新任基金管理人要求，应按其要求替换或删除基金名称中与原任基金管理人有关的名称字样。</w:t>
      </w:r>
    </w:p>
    <w:p w:rsidR="00A674F9" w:rsidRDefault="00CD789A">
      <w:pPr>
        <w:spacing w:line="360" w:lineRule="auto"/>
        <w:ind w:firstLineChars="200" w:firstLine="480"/>
        <w:rPr>
          <w:rFonts w:ascii="宋体" w:hAnsi="宋体"/>
          <w:sz w:val="24"/>
          <w:szCs w:val="21"/>
        </w:rPr>
      </w:pPr>
      <w:r>
        <w:rPr>
          <w:rFonts w:ascii="宋体" w:hAnsi="宋体" w:hint="eastAsia"/>
          <w:sz w:val="24"/>
          <w:szCs w:val="21"/>
        </w:rPr>
        <w:t>3</w:t>
      </w:r>
      <w:r>
        <w:rPr>
          <w:rFonts w:ascii="宋体" w:hAnsi="宋体" w:hint="eastAsia"/>
          <w:sz w:val="24"/>
          <w:szCs w:val="21"/>
        </w:rPr>
        <w:t>、原任基金管理人职责终止后，新任基金管理人或基金临时管理人接受基金管理业务前，原任基金管理人和基金托管人需采取审慎措施确保基金财产的安全，不对基金份额持有人的利益造成损失，并有义务协助新任基金管理人或临时基金管理人尽快恢复基金财产的投资运作。</w:t>
      </w:r>
    </w:p>
    <w:p w:rsidR="00A674F9" w:rsidRDefault="00CD789A" w:rsidP="00CA205C">
      <w:pPr>
        <w:pStyle w:val="2"/>
        <w:keepNext w:val="0"/>
        <w:keepLines w:val="0"/>
        <w:autoSpaceDE w:val="0"/>
        <w:autoSpaceDN w:val="0"/>
        <w:adjustRightInd w:val="0"/>
        <w:spacing w:before="0" w:after="0" w:line="360" w:lineRule="auto"/>
        <w:ind w:firstLineChars="147" w:firstLine="353"/>
        <w:textAlignment w:val="baseline"/>
        <w:rPr>
          <w:rFonts w:ascii="宋体" w:eastAsia="宋体" w:hAnsi="宋体" w:cs="Arial"/>
          <w:b w:val="0"/>
          <w:bCs w:val="0"/>
          <w:kern w:val="0"/>
          <w:sz w:val="24"/>
        </w:rPr>
      </w:pPr>
      <w:bookmarkStart w:id="155" w:name="_Toc123705486"/>
      <w:bookmarkStart w:id="156" w:name="_Toc48703922"/>
      <w:bookmarkStart w:id="157" w:name="_Toc22454471"/>
      <w:r>
        <w:rPr>
          <w:rFonts w:ascii="宋体" w:eastAsia="宋体" w:hAnsi="宋体" w:cs="Arial" w:hint="eastAsia"/>
          <w:b w:val="0"/>
          <w:bCs w:val="0"/>
          <w:kern w:val="0"/>
          <w:sz w:val="24"/>
        </w:rPr>
        <w:t>（二）基金托管人的更换</w:t>
      </w:r>
      <w:bookmarkEnd w:id="155"/>
      <w:bookmarkEnd w:id="156"/>
      <w:bookmarkEnd w:id="157"/>
    </w:p>
    <w:p w:rsidR="00A674F9" w:rsidRDefault="00CD789A">
      <w:pPr>
        <w:spacing w:line="360" w:lineRule="auto"/>
        <w:ind w:firstLineChars="200" w:firstLine="480"/>
        <w:rPr>
          <w:rFonts w:ascii="宋体" w:hAnsi="宋体"/>
          <w:sz w:val="24"/>
          <w:szCs w:val="21"/>
        </w:rPr>
      </w:pPr>
      <w:bookmarkStart w:id="158" w:name="_Toc48703923"/>
      <w:bookmarkStart w:id="159" w:name="_Toc22454472"/>
      <w:r>
        <w:rPr>
          <w:rFonts w:ascii="宋体" w:hAnsi="宋体" w:hint="eastAsia"/>
          <w:sz w:val="24"/>
          <w:szCs w:val="21"/>
        </w:rPr>
        <w:t>1</w:t>
      </w:r>
      <w:r>
        <w:rPr>
          <w:rFonts w:ascii="宋体" w:hAnsi="宋体" w:hint="eastAsia"/>
          <w:sz w:val="24"/>
          <w:szCs w:val="21"/>
        </w:rPr>
        <w:t>、基金托管人的更换条件</w:t>
      </w:r>
      <w:bookmarkEnd w:id="158"/>
      <w:bookmarkEnd w:id="159"/>
    </w:p>
    <w:p w:rsidR="00A674F9" w:rsidRDefault="00CD789A">
      <w:pPr>
        <w:spacing w:line="360" w:lineRule="auto"/>
        <w:ind w:firstLineChars="200" w:firstLine="480"/>
        <w:rPr>
          <w:rFonts w:ascii="宋体" w:hAnsi="宋体"/>
          <w:sz w:val="24"/>
          <w:szCs w:val="21"/>
        </w:rPr>
      </w:pPr>
      <w:r>
        <w:rPr>
          <w:rFonts w:ascii="宋体" w:hAnsi="宋体" w:hint="eastAsia"/>
          <w:sz w:val="24"/>
          <w:szCs w:val="21"/>
        </w:rPr>
        <w:t>有下列情形之一的，经中国证监会批准，可以更换基金托管人：</w:t>
      </w:r>
    </w:p>
    <w:p w:rsidR="00A674F9" w:rsidRDefault="00CD789A">
      <w:pPr>
        <w:spacing w:line="360" w:lineRule="auto"/>
        <w:ind w:firstLineChars="200" w:firstLine="480"/>
        <w:rPr>
          <w:rFonts w:ascii="宋体" w:hAnsi="宋体"/>
          <w:sz w:val="24"/>
          <w:szCs w:val="21"/>
        </w:rPr>
      </w:pPr>
      <w:r>
        <w:rPr>
          <w:rFonts w:ascii="宋体" w:hAnsi="宋体" w:hint="eastAsia"/>
          <w:sz w:val="24"/>
          <w:szCs w:val="21"/>
        </w:rPr>
        <w:t xml:space="preserve">(1) </w:t>
      </w:r>
      <w:r>
        <w:rPr>
          <w:rFonts w:ascii="宋体" w:hAnsi="宋体" w:hint="eastAsia"/>
          <w:sz w:val="24"/>
          <w:szCs w:val="21"/>
        </w:rPr>
        <w:t>被依法取消基金托管人资格；</w:t>
      </w:r>
    </w:p>
    <w:p w:rsidR="00A674F9" w:rsidRDefault="00CD789A">
      <w:pPr>
        <w:spacing w:line="360" w:lineRule="auto"/>
        <w:ind w:firstLineChars="200" w:firstLine="480"/>
        <w:rPr>
          <w:rFonts w:ascii="宋体" w:hAnsi="宋体"/>
          <w:sz w:val="24"/>
          <w:szCs w:val="21"/>
        </w:rPr>
      </w:pPr>
      <w:r>
        <w:rPr>
          <w:rFonts w:ascii="宋体" w:hAnsi="宋体" w:hint="eastAsia"/>
          <w:sz w:val="24"/>
          <w:szCs w:val="21"/>
        </w:rPr>
        <w:t xml:space="preserve">(2) </w:t>
      </w:r>
      <w:r>
        <w:rPr>
          <w:rFonts w:ascii="宋体" w:hAnsi="宋体" w:hint="eastAsia"/>
          <w:sz w:val="24"/>
          <w:szCs w:val="21"/>
        </w:rPr>
        <w:t>被基金份额持有人大会解任</w:t>
      </w:r>
      <w:r>
        <w:rPr>
          <w:rFonts w:ascii="宋体" w:hAnsi="宋体"/>
          <w:sz w:val="24"/>
          <w:szCs w:val="21"/>
        </w:rPr>
        <w:t>；</w:t>
      </w:r>
    </w:p>
    <w:p w:rsidR="00A674F9" w:rsidRDefault="00CD789A">
      <w:pPr>
        <w:spacing w:line="360" w:lineRule="auto"/>
        <w:ind w:firstLineChars="200" w:firstLine="480"/>
        <w:rPr>
          <w:rFonts w:ascii="宋体" w:hAnsi="宋体"/>
          <w:sz w:val="24"/>
          <w:szCs w:val="21"/>
        </w:rPr>
      </w:pPr>
      <w:r>
        <w:rPr>
          <w:rFonts w:ascii="宋体" w:hAnsi="宋体" w:hint="eastAsia"/>
          <w:sz w:val="24"/>
          <w:szCs w:val="21"/>
        </w:rPr>
        <w:t xml:space="preserve">(3) </w:t>
      </w:r>
      <w:r>
        <w:rPr>
          <w:rFonts w:ascii="宋体" w:hAnsi="宋体" w:hint="eastAsia"/>
          <w:sz w:val="24"/>
          <w:szCs w:val="21"/>
        </w:rPr>
        <w:t>依法解散、被依法撤销或被依法宣告破产</w:t>
      </w:r>
      <w:r>
        <w:rPr>
          <w:rFonts w:ascii="宋体" w:hAnsi="宋体"/>
          <w:sz w:val="24"/>
          <w:szCs w:val="21"/>
        </w:rPr>
        <w:t>；</w:t>
      </w:r>
    </w:p>
    <w:p w:rsidR="00A674F9" w:rsidRDefault="00CD789A">
      <w:pPr>
        <w:spacing w:line="360" w:lineRule="auto"/>
        <w:ind w:firstLineChars="200" w:firstLine="480"/>
        <w:rPr>
          <w:rFonts w:ascii="宋体" w:hAnsi="宋体"/>
          <w:sz w:val="24"/>
          <w:szCs w:val="21"/>
        </w:rPr>
      </w:pPr>
      <w:r>
        <w:rPr>
          <w:rFonts w:ascii="宋体" w:hAnsi="宋体" w:hint="eastAsia"/>
          <w:sz w:val="24"/>
          <w:szCs w:val="21"/>
        </w:rPr>
        <w:t xml:space="preserve">(4) </w:t>
      </w:r>
      <w:r>
        <w:rPr>
          <w:rFonts w:ascii="宋体" w:hAnsi="宋体" w:hint="eastAsia"/>
          <w:sz w:val="24"/>
          <w:szCs w:val="21"/>
        </w:rPr>
        <w:t>法律法规</w:t>
      </w:r>
      <w:r>
        <w:rPr>
          <w:rFonts w:hint="eastAsia"/>
          <w:bCs/>
          <w:sz w:val="24"/>
        </w:rPr>
        <w:t>及中国证监会规定的</w:t>
      </w:r>
      <w:r>
        <w:rPr>
          <w:rFonts w:ascii="宋体" w:hAnsi="宋体" w:hint="eastAsia"/>
          <w:sz w:val="24"/>
          <w:szCs w:val="21"/>
        </w:rPr>
        <w:t>和《基金合同》规定的其它情形。</w:t>
      </w:r>
    </w:p>
    <w:p w:rsidR="00A674F9" w:rsidRDefault="00CD789A">
      <w:pPr>
        <w:spacing w:line="360" w:lineRule="auto"/>
        <w:ind w:firstLineChars="200" w:firstLine="480"/>
        <w:rPr>
          <w:rFonts w:ascii="宋体" w:hAnsi="宋体"/>
          <w:sz w:val="24"/>
          <w:szCs w:val="21"/>
        </w:rPr>
      </w:pPr>
      <w:bookmarkStart w:id="160" w:name="_Toc22454473"/>
      <w:bookmarkStart w:id="161" w:name="_Toc48703924"/>
      <w:r>
        <w:rPr>
          <w:rFonts w:ascii="宋体" w:hAnsi="宋体" w:hint="eastAsia"/>
          <w:sz w:val="24"/>
          <w:szCs w:val="21"/>
        </w:rPr>
        <w:t>2</w:t>
      </w:r>
      <w:r>
        <w:rPr>
          <w:rFonts w:ascii="宋体" w:hAnsi="宋体" w:hint="eastAsia"/>
          <w:sz w:val="24"/>
          <w:szCs w:val="21"/>
        </w:rPr>
        <w:t>、更换基金托管人的程序</w:t>
      </w:r>
      <w:bookmarkEnd w:id="160"/>
      <w:bookmarkEnd w:id="161"/>
    </w:p>
    <w:p w:rsidR="00A674F9" w:rsidRDefault="00CD789A">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1</w:t>
      </w:r>
      <w:r>
        <w:rPr>
          <w:rFonts w:ascii="宋体" w:hAnsi="宋体" w:hint="eastAsia"/>
          <w:sz w:val="24"/>
          <w:szCs w:val="21"/>
        </w:rPr>
        <w:t>）提名：新任基金托管人由基金管理人或由单独或合计持有</w:t>
      </w:r>
      <w:r>
        <w:rPr>
          <w:rFonts w:ascii="宋体" w:hAnsi="宋体" w:hint="eastAsia"/>
          <w:sz w:val="24"/>
          <w:szCs w:val="21"/>
        </w:rPr>
        <w:t>10%</w:t>
      </w:r>
      <w:r>
        <w:rPr>
          <w:rFonts w:ascii="宋体" w:hAnsi="宋体" w:hint="eastAsia"/>
          <w:sz w:val="24"/>
          <w:szCs w:val="21"/>
        </w:rPr>
        <w:t>以上（含</w:t>
      </w:r>
      <w:r>
        <w:rPr>
          <w:rFonts w:ascii="宋体" w:hAnsi="宋体" w:hint="eastAsia"/>
          <w:sz w:val="24"/>
          <w:szCs w:val="21"/>
        </w:rPr>
        <w:t>10%</w:t>
      </w:r>
      <w:r>
        <w:rPr>
          <w:rFonts w:ascii="宋体" w:hAnsi="宋体" w:hint="eastAsia"/>
          <w:sz w:val="24"/>
          <w:szCs w:val="21"/>
        </w:rPr>
        <w:t>）基金份额的基金份额持有人提名；</w:t>
      </w:r>
    </w:p>
    <w:p w:rsidR="00A674F9" w:rsidRDefault="00CD789A">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2</w:t>
      </w:r>
      <w:r>
        <w:rPr>
          <w:rFonts w:ascii="宋体" w:hAnsi="宋体" w:hint="eastAsia"/>
          <w:sz w:val="24"/>
          <w:szCs w:val="21"/>
        </w:rPr>
        <w:t>）决议：基金份额持有人大会在基金托管人职责终止后</w:t>
      </w:r>
      <w:r>
        <w:rPr>
          <w:rFonts w:ascii="宋体" w:hAnsi="宋体" w:hint="eastAsia"/>
          <w:sz w:val="24"/>
          <w:szCs w:val="21"/>
        </w:rPr>
        <w:t>6</w:t>
      </w:r>
      <w:r>
        <w:rPr>
          <w:rFonts w:ascii="宋体" w:hAnsi="宋体" w:hint="eastAsia"/>
          <w:sz w:val="24"/>
          <w:szCs w:val="21"/>
        </w:rPr>
        <w:t>个月内对被提名的基金托管人形成决议，该决议需经参加大会的基金份额持有人所持表决权的</w:t>
      </w:r>
      <w:r>
        <w:rPr>
          <w:rFonts w:ascii="宋体" w:hAnsi="宋体" w:hint="eastAsia"/>
          <w:sz w:val="24"/>
          <w:szCs w:val="21"/>
        </w:rPr>
        <w:t>2/3</w:t>
      </w:r>
      <w:r>
        <w:rPr>
          <w:rFonts w:ascii="宋体" w:hAnsi="宋体" w:hint="eastAsia"/>
          <w:sz w:val="24"/>
          <w:szCs w:val="21"/>
        </w:rPr>
        <w:t>以上（含</w:t>
      </w:r>
      <w:r>
        <w:rPr>
          <w:rFonts w:ascii="宋体" w:hAnsi="宋体" w:hint="eastAsia"/>
          <w:sz w:val="24"/>
          <w:szCs w:val="21"/>
        </w:rPr>
        <w:t>2/3</w:t>
      </w:r>
      <w:r>
        <w:rPr>
          <w:rFonts w:ascii="宋体" w:hAnsi="宋体" w:hint="eastAsia"/>
          <w:sz w:val="24"/>
          <w:szCs w:val="21"/>
        </w:rPr>
        <w:t>）表决通过</w:t>
      </w:r>
      <w:r>
        <w:rPr>
          <w:rFonts w:hint="eastAsia"/>
          <w:bCs/>
          <w:sz w:val="24"/>
        </w:rPr>
        <w:t>，</w:t>
      </w:r>
      <w:r>
        <w:rPr>
          <w:bCs/>
          <w:sz w:val="24"/>
        </w:rPr>
        <w:t>并自表决通过之日起生效</w:t>
      </w:r>
      <w:r>
        <w:rPr>
          <w:rFonts w:ascii="宋体" w:hAnsi="宋体" w:hint="eastAsia"/>
          <w:sz w:val="24"/>
          <w:szCs w:val="21"/>
        </w:rPr>
        <w:t>；</w:t>
      </w:r>
    </w:p>
    <w:p w:rsidR="00A674F9" w:rsidRDefault="00CD789A">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3</w:t>
      </w:r>
      <w:r>
        <w:rPr>
          <w:rFonts w:ascii="宋体" w:hAnsi="宋体" w:hint="eastAsia"/>
          <w:sz w:val="24"/>
          <w:szCs w:val="21"/>
        </w:rPr>
        <w:t>）临时基金托管人：新任基金托管人产生之前，由中国证监会指定临时基金托管人；</w:t>
      </w:r>
    </w:p>
    <w:p w:rsidR="00A674F9" w:rsidRDefault="00CD789A">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4</w:t>
      </w:r>
      <w:r>
        <w:rPr>
          <w:rFonts w:ascii="宋体" w:hAnsi="宋体" w:hint="eastAsia"/>
          <w:sz w:val="24"/>
          <w:szCs w:val="21"/>
        </w:rPr>
        <w:t>）备案：基金份额持有人大会选任基金托管人的决议须报中国证监会备案；</w:t>
      </w:r>
    </w:p>
    <w:p w:rsidR="00A674F9" w:rsidRDefault="00CD789A">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5</w:t>
      </w:r>
      <w:r>
        <w:rPr>
          <w:rFonts w:ascii="宋体" w:hAnsi="宋体" w:hint="eastAsia"/>
          <w:sz w:val="24"/>
          <w:szCs w:val="21"/>
        </w:rPr>
        <w:t>）公告：基金托管人更换后，由基金管理人在</w:t>
      </w:r>
      <w:r>
        <w:rPr>
          <w:rFonts w:hint="eastAsia"/>
          <w:bCs/>
          <w:sz w:val="24"/>
        </w:rPr>
        <w:t>决议生效</w:t>
      </w:r>
      <w:r>
        <w:rPr>
          <w:rFonts w:ascii="宋体" w:hAnsi="宋体" w:hint="eastAsia"/>
          <w:sz w:val="24"/>
          <w:szCs w:val="21"/>
        </w:rPr>
        <w:t>后</w:t>
      </w:r>
      <w:r>
        <w:rPr>
          <w:rFonts w:ascii="宋体" w:hAnsi="宋体" w:hint="eastAsia"/>
          <w:sz w:val="24"/>
          <w:szCs w:val="21"/>
        </w:rPr>
        <w:t>2</w:t>
      </w:r>
      <w:r>
        <w:rPr>
          <w:rFonts w:ascii="宋体" w:hAnsi="宋体" w:hint="eastAsia"/>
          <w:sz w:val="24"/>
          <w:szCs w:val="21"/>
        </w:rPr>
        <w:t>日内在指定媒介公告。</w:t>
      </w:r>
    </w:p>
    <w:p w:rsidR="00A674F9" w:rsidRDefault="00CD789A">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6</w:t>
      </w:r>
      <w:r>
        <w:rPr>
          <w:rFonts w:ascii="宋体" w:hAnsi="宋体" w:hint="eastAsia"/>
          <w:sz w:val="24"/>
          <w:szCs w:val="21"/>
        </w:rPr>
        <w:t>）交接：基金托管人职责终止的，应当妥善保管基金财产和基金托管业务资料，及时办理基金财产和基金托管业务的移交手续，新任基金托管人或者临</w:t>
      </w:r>
      <w:r>
        <w:rPr>
          <w:rFonts w:ascii="宋体" w:hAnsi="宋体" w:hint="eastAsia"/>
          <w:sz w:val="24"/>
          <w:szCs w:val="21"/>
        </w:rPr>
        <w:lastRenderedPageBreak/>
        <w:t>时基金托管人应当及时接收。新任基金托管人与基金管理人核对基金资产总值。</w:t>
      </w:r>
    </w:p>
    <w:p w:rsidR="00A674F9" w:rsidRDefault="00CD789A">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7</w:t>
      </w:r>
      <w:r>
        <w:rPr>
          <w:rFonts w:ascii="宋体" w:hAnsi="宋体" w:hint="eastAsia"/>
          <w:sz w:val="24"/>
          <w:szCs w:val="21"/>
        </w:rPr>
        <w:t>）审计：基金托管人职责终止的，应当按照法律法规规定聘请会计师事务所对基金财产进行审计，并予以公告，同时报中国证监会备案。</w:t>
      </w:r>
    </w:p>
    <w:p w:rsidR="00A674F9" w:rsidRDefault="00CD789A">
      <w:pPr>
        <w:spacing w:line="360" w:lineRule="auto"/>
        <w:ind w:firstLineChars="225" w:firstLine="540"/>
        <w:rPr>
          <w:rFonts w:ascii="宋体" w:hAnsi="宋体"/>
          <w:sz w:val="24"/>
          <w:szCs w:val="21"/>
        </w:rPr>
      </w:pPr>
      <w:r>
        <w:rPr>
          <w:rFonts w:ascii="宋体" w:hAnsi="宋体" w:hint="eastAsia"/>
          <w:sz w:val="24"/>
          <w:szCs w:val="21"/>
        </w:rPr>
        <w:t>3</w:t>
      </w:r>
      <w:r>
        <w:rPr>
          <w:rFonts w:ascii="宋体" w:hAnsi="宋体" w:hint="eastAsia"/>
          <w:sz w:val="24"/>
          <w:szCs w:val="21"/>
        </w:rPr>
        <w:t>、原基金托管人职责终止后，新任基金托管人或临时基金托管人接受基金财产和基金托管业务前，原基金托管人和基金管理人需采取审慎措施确保基金财产的安全，不对基金份额持有人的利益造成损失</w:t>
      </w:r>
      <w:r>
        <w:rPr>
          <w:rFonts w:ascii="宋体" w:hAnsi="宋体" w:hint="eastAsia"/>
          <w:sz w:val="24"/>
          <w:szCs w:val="21"/>
        </w:rPr>
        <w:t>，并有义务协助新任基金托管人或临时基金托管人尽快交接基金资产。</w:t>
      </w:r>
    </w:p>
    <w:p w:rsidR="00A674F9" w:rsidRDefault="00CD789A">
      <w:pPr>
        <w:spacing w:line="360" w:lineRule="auto"/>
        <w:ind w:firstLineChars="200" w:firstLine="480"/>
        <w:rPr>
          <w:rFonts w:ascii="宋体" w:hAnsi="宋体"/>
          <w:bCs/>
          <w:sz w:val="24"/>
          <w:szCs w:val="21"/>
        </w:rPr>
      </w:pPr>
      <w:r>
        <w:rPr>
          <w:rFonts w:ascii="宋体" w:hAnsi="宋体" w:hint="eastAsia"/>
          <w:bCs/>
          <w:sz w:val="24"/>
          <w:szCs w:val="21"/>
        </w:rPr>
        <w:t>（三）</w:t>
      </w:r>
      <w:r>
        <w:rPr>
          <w:rFonts w:ascii="宋体" w:hAnsi="宋体" w:hint="eastAsia"/>
          <w:bCs/>
          <w:sz w:val="24"/>
          <w:szCs w:val="21"/>
        </w:rPr>
        <w:tab/>
      </w:r>
      <w:r>
        <w:rPr>
          <w:rFonts w:ascii="宋体" w:hAnsi="宋体" w:hint="eastAsia"/>
          <w:bCs/>
          <w:sz w:val="24"/>
          <w:szCs w:val="21"/>
        </w:rPr>
        <w:t>基金管理人和基金托管人的同时更换程序</w:t>
      </w:r>
    </w:p>
    <w:p w:rsidR="00A674F9" w:rsidRDefault="00CD789A">
      <w:pPr>
        <w:spacing w:line="360" w:lineRule="auto"/>
        <w:ind w:firstLineChars="200" w:firstLine="480"/>
        <w:rPr>
          <w:rFonts w:ascii="宋体" w:hAnsi="宋体"/>
          <w:sz w:val="24"/>
          <w:szCs w:val="21"/>
        </w:rPr>
      </w:pPr>
      <w:r>
        <w:rPr>
          <w:rFonts w:ascii="宋体" w:hAnsi="宋体" w:hint="eastAsia"/>
          <w:sz w:val="24"/>
          <w:szCs w:val="21"/>
        </w:rPr>
        <w:t>1</w:t>
      </w:r>
      <w:r>
        <w:rPr>
          <w:rFonts w:ascii="宋体" w:hAnsi="宋体" w:hint="eastAsia"/>
          <w:sz w:val="24"/>
          <w:szCs w:val="21"/>
        </w:rPr>
        <w:t>、提名：如果基金管理人和基金托管人同时更换，由单独或合计持有基金总份额</w:t>
      </w:r>
      <w:r>
        <w:rPr>
          <w:rFonts w:ascii="宋体" w:hAnsi="宋体" w:hint="eastAsia"/>
          <w:sz w:val="24"/>
          <w:szCs w:val="21"/>
        </w:rPr>
        <w:t>10%</w:t>
      </w:r>
      <w:r>
        <w:rPr>
          <w:rFonts w:ascii="宋体" w:hAnsi="宋体" w:hint="eastAsia"/>
          <w:sz w:val="24"/>
          <w:szCs w:val="21"/>
        </w:rPr>
        <w:t>以上（含</w:t>
      </w:r>
      <w:r>
        <w:rPr>
          <w:rFonts w:ascii="宋体" w:hAnsi="宋体" w:hint="eastAsia"/>
          <w:sz w:val="24"/>
          <w:szCs w:val="21"/>
        </w:rPr>
        <w:t>10%</w:t>
      </w:r>
      <w:r>
        <w:rPr>
          <w:rFonts w:ascii="宋体" w:hAnsi="宋体" w:hint="eastAsia"/>
          <w:sz w:val="24"/>
          <w:szCs w:val="21"/>
        </w:rPr>
        <w:t>）的基金份额持有人提名新的基金管理人和基金托管人；</w:t>
      </w:r>
    </w:p>
    <w:p w:rsidR="00A674F9" w:rsidRDefault="00CD789A">
      <w:pPr>
        <w:spacing w:line="360" w:lineRule="auto"/>
        <w:ind w:firstLineChars="200" w:firstLine="480"/>
        <w:rPr>
          <w:rFonts w:ascii="宋体" w:hAnsi="宋体"/>
          <w:sz w:val="24"/>
          <w:szCs w:val="21"/>
        </w:rPr>
      </w:pPr>
      <w:r>
        <w:rPr>
          <w:rFonts w:ascii="宋体" w:hAnsi="宋体" w:hint="eastAsia"/>
          <w:sz w:val="24"/>
          <w:szCs w:val="21"/>
        </w:rPr>
        <w:t>2</w:t>
      </w:r>
      <w:r>
        <w:rPr>
          <w:rFonts w:ascii="宋体" w:hAnsi="宋体" w:hint="eastAsia"/>
          <w:sz w:val="24"/>
          <w:szCs w:val="21"/>
        </w:rPr>
        <w:t>、基金管理人和基金托管人的更换分别按上述程序进行；</w:t>
      </w:r>
    </w:p>
    <w:p w:rsidR="00A674F9" w:rsidRDefault="00CD789A">
      <w:pPr>
        <w:spacing w:line="360" w:lineRule="auto"/>
        <w:ind w:firstLineChars="200" w:firstLine="480"/>
        <w:rPr>
          <w:rFonts w:ascii="宋体" w:hAnsi="宋体"/>
          <w:sz w:val="24"/>
        </w:rPr>
      </w:pPr>
      <w:r>
        <w:rPr>
          <w:rFonts w:ascii="宋体" w:hAnsi="宋体" w:hint="eastAsia"/>
          <w:sz w:val="24"/>
          <w:szCs w:val="21"/>
        </w:rPr>
        <w:t>3</w:t>
      </w:r>
      <w:r>
        <w:rPr>
          <w:rFonts w:ascii="宋体" w:hAnsi="宋体" w:hint="eastAsia"/>
          <w:sz w:val="24"/>
          <w:szCs w:val="21"/>
        </w:rPr>
        <w:t>、公告：新任基金管理人和新任基金托管人应在更换基金管理人和基金托管人的基金份额持有人大会决议生效后</w:t>
      </w:r>
      <w:r>
        <w:rPr>
          <w:rFonts w:ascii="宋体" w:hAnsi="宋体" w:hint="eastAsia"/>
          <w:sz w:val="24"/>
          <w:szCs w:val="21"/>
        </w:rPr>
        <w:t>2</w:t>
      </w:r>
      <w:r>
        <w:rPr>
          <w:rFonts w:ascii="宋体" w:hAnsi="宋体" w:hint="eastAsia"/>
          <w:sz w:val="24"/>
          <w:szCs w:val="21"/>
        </w:rPr>
        <w:t>日内在指定媒介上联合公告。</w:t>
      </w:r>
    </w:p>
    <w:p w:rsidR="00A674F9" w:rsidRDefault="00CD789A">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62" w:name="_Toc123626181"/>
      <w:bookmarkStart w:id="163" w:name="_Toc125361087"/>
      <w:bookmarkStart w:id="164" w:name="_Toc140002350"/>
      <w:bookmarkStart w:id="165" w:name="_Toc124749237"/>
      <w:bookmarkStart w:id="166" w:name="_Toc124749950"/>
      <w:bookmarkEnd w:id="147"/>
      <w:bookmarkEnd w:id="148"/>
      <w:bookmarkEnd w:id="149"/>
      <w:r>
        <w:rPr>
          <w:rFonts w:ascii="宋体" w:hAnsi="宋体" w:cs="Arial" w:hint="eastAsia"/>
          <w:sz w:val="30"/>
        </w:rPr>
        <w:t>禁止行为</w:t>
      </w:r>
      <w:bookmarkEnd w:id="162"/>
      <w:bookmarkEnd w:id="163"/>
      <w:bookmarkEnd w:id="164"/>
      <w:bookmarkEnd w:id="165"/>
      <w:bookmarkEnd w:id="166"/>
    </w:p>
    <w:p w:rsidR="00A674F9" w:rsidRDefault="00CD789A">
      <w:pPr>
        <w:spacing w:line="360" w:lineRule="auto"/>
        <w:ind w:firstLineChars="225" w:firstLine="540"/>
        <w:rPr>
          <w:rFonts w:ascii="宋体" w:hAnsi="宋体"/>
          <w:sz w:val="24"/>
          <w:szCs w:val="21"/>
        </w:rPr>
      </w:pPr>
      <w:r>
        <w:rPr>
          <w:rFonts w:ascii="宋体" w:hAnsi="宋体" w:hint="eastAsia"/>
          <w:sz w:val="24"/>
          <w:szCs w:val="21"/>
        </w:rPr>
        <w:t>托管协议当事人禁止从事的行为，包括但不限于：</w:t>
      </w:r>
    </w:p>
    <w:p w:rsidR="00A674F9" w:rsidRDefault="00CD789A">
      <w:pPr>
        <w:spacing w:line="360" w:lineRule="auto"/>
        <w:ind w:firstLineChars="225" w:firstLine="540"/>
        <w:rPr>
          <w:rFonts w:ascii="宋体" w:hAnsi="宋体"/>
          <w:sz w:val="24"/>
          <w:szCs w:val="21"/>
        </w:rPr>
      </w:pPr>
      <w:r>
        <w:rPr>
          <w:rFonts w:ascii="宋体" w:hAnsi="宋体" w:hint="eastAsia"/>
          <w:sz w:val="24"/>
          <w:szCs w:val="21"/>
        </w:rPr>
        <w:t>（一）基金管</w:t>
      </w:r>
      <w:r>
        <w:rPr>
          <w:rFonts w:ascii="宋体" w:hAnsi="宋体" w:hint="eastAsia"/>
          <w:sz w:val="24"/>
          <w:szCs w:val="21"/>
        </w:rPr>
        <w:t>理人、基金托管人将其固有财产或者他人财产混同于基金财产从事证券投资。</w:t>
      </w:r>
    </w:p>
    <w:p w:rsidR="00A674F9" w:rsidRDefault="00CD789A">
      <w:pPr>
        <w:spacing w:line="360" w:lineRule="auto"/>
        <w:ind w:firstLineChars="225" w:firstLine="540"/>
        <w:rPr>
          <w:rFonts w:ascii="宋体" w:hAnsi="宋体"/>
          <w:sz w:val="24"/>
          <w:szCs w:val="21"/>
        </w:rPr>
      </w:pPr>
      <w:r>
        <w:rPr>
          <w:rFonts w:ascii="宋体" w:hAnsi="宋体" w:hint="eastAsia"/>
          <w:sz w:val="24"/>
          <w:szCs w:val="21"/>
        </w:rPr>
        <w:t>（二）基金管理人、基金托管人不公平地对待其管理或托管的不同基金财产。</w:t>
      </w:r>
    </w:p>
    <w:p w:rsidR="00A674F9" w:rsidRDefault="00CD789A">
      <w:pPr>
        <w:spacing w:line="360" w:lineRule="auto"/>
        <w:ind w:firstLineChars="225" w:firstLine="540"/>
        <w:rPr>
          <w:rFonts w:ascii="宋体" w:hAnsi="宋体"/>
          <w:sz w:val="24"/>
          <w:szCs w:val="21"/>
        </w:rPr>
      </w:pPr>
      <w:r>
        <w:rPr>
          <w:rFonts w:ascii="宋体" w:hAnsi="宋体" w:hint="eastAsia"/>
          <w:sz w:val="24"/>
          <w:szCs w:val="21"/>
        </w:rPr>
        <w:t>（三）基金管理人、基金托管人利用基金财产为基金份额持有人以外的第三人牟取利益。</w:t>
      </w:r>
    </w:p>
    <w:p w:rsidR="00A674F9" w:rsidRDefault="00CD789A">
      <w:pPr>
        <w:spacing w:line="360" w:lineRule="auto"/>
        <w:ind w:firstLineChars="225" w:firstLine="540"/>
        <w:rPr>
          <w:rFonts w:ascii="宋体" w:hAnsi="宋体"/>
          <w:sz w:val="24"/>
          <w:szCs w:val="21"/>
        </w:rPr>
      </w:pPr>
      <w:r>
        <w:rPr>
          <w:rFonts w:ascii="宋体" w:hAnsi="宋体" w:hint="eastAsia"/>
          <w:sz w:val="24"/>
          <w:szCs w:val="21"/>
        </w:rPr>
        <w:t>（四）基金管理人、基金托管人向基金份额持有人违规承诺收益或者承担损失。</w:t>
      </w:r>
    </w:p>
    <w:p w:rsidR="00A674F9" w:rsidRDefault="00CD789A">
      <w:pPr>
        <w:spacing w:line="360" w:lineRule="auto"/>
        <w:ind w:firstLineChars="225" w:firstLine="540"/>
        <w:rPr>
          <w:rFonts w:ascii="宋体" w:hAnsi="宋体"/>
          <w:sz w:val="24"/>
          <w:szCs w:val="21"/>
        </w:rPr>
      </w:pPr>
      <w:r>
        <w:rPr>
          <w:rFonts w:ascii="宋体" w:hAnsi="宋体" w:hint="eastAsia"/>
          <w:sz w:val="24"/>
          <w:szCs w:val="21"/>
        </w:rPr>
        <w:t>（五）基金管理人、基金托管人对他人泄漏基金经营过程中任何尚未按法律法规规定的方式公开披露的信息。</w:t>
      </w:r>
    </w:p>
    <w:p w:rsidR="00A674F9" w:rsidRDefault="00CD789A">
      <w:pPr>
        <w:spacing w:line="360" w:lineRule="auto"/>
        <w:ind w:firstLineChars="225" w:firstLine="540"/>
        <w:rPr>
          <w:rFonts w:ascii="宋体" w:hAnsi="宋体"/>
          <w:sz w:val="24"/>
          <w:szCs w:val="21"/>
        </w:rPr>
      </w:pPr>
      <w:r>
        <w:rPr>
          <w:rFonts w:ascii="宋体" w:hAnsi="宋体" w:hint="eastAsia"/>
          <w:sz w:val="24"/>
          <w:szCs w:val="21"/>
        </w:rPr>
        <w:t>（六）基金管理人在没有充足资金的情况下向基金托管人发出投资指令和赎回、分红资金的划拨指令，或违规向基金托管人发出指令。</w:t>
      </w:r>
    </w:p>
    <w:p w:rsidR="00A674F9" w:rsidRDefault="00CD789A">
      <w:pPr>
        <w:spacing w:line="360" w:lineRule="auto"/>
        <w:ind w:firstLineChars="225" w:firstLine="540"/>
        <w:rPr>
          <w:rFonts w:ascii="宋体" w:hAnsi="宋体"/>
          <w:sz w:val="24"/>
          <w:szCs w:val="21"/>
        </w:rPr>
      </w:pPr>
      <w:r>
        <w:rPr>
          <w:rFonts w:ascii="宋体" w:hAnsi="宋体" w:hint="eastAsia"/>
          <w:sz w:val="24"/>
          <w:szCs w:val="21"/>
        </w:rPr>
        <w:t>（七）基金托管人对基金管理人的正常有效指令拖延或拒绝执行。</w:t>
      </w:r>
    </w:p>
    <w:p w:rsidR="00A674F9" w:rsidRDefault="00CD789A">
      <w:pPr>
        <w:spacing w:line="360" w:lineRule="auto"/>
        <w:ind w:firstLineChars="225" w:firstLine="540"/>
        <w:rPr>
          <w:rFonts w:ascii="宋体" w:hAnsi="宋体"/>
          <w:sz w:val="24"/>
          <w:szCs w:val="21"/>
        </w:rPr>
      </w:pPr>
      <w:r>
        <w:rPr>
          <w:rFonts w:ascii="宋体" w:hAnsi="宋体" w:hint="eastAsia"/>
          <w:sz w:val="24"/>
          <w:szCs w:val="21"/>
        </w:rPr>
        <w:lastRenderedPageBreak/>
        <w:t>（八）基金管理人、基金托管人在行政上、财务上不独立，其高级基金管理人员相互兼职。</w:t>
      </w:r>
      <w:r>
        <w:rPr>
          <w:rFonts w:ascii="宋体" w:hAnsi="宋体" w:hint="eastAsia"/>
          <w:sz w:val="24"/>
          <w:szCs w:val="21"/>
        </w:rPr>
        <w:t xml:space="preserve"> </w:t>
      </w:r>
    </w:p>
    <w:p w:rsidR="00A674F9" w:rsidRDefault="00CD789A">
      <w:pPr>
        <w:spacing w:line="360" w:lineRule="auto"/>
        <w:ind w:firstLineChars="225" w:firstLine="540"/>
        <w:rPr>
          <w:rFonts w:ascii="宋体" w:hAnsi="宋体"/>
          <w:sz w:val="24"/>
          <w:szCs w:val="21"/>
        </w:rPr>
      </w:pPr>
      <w:r>
        <w:rPr>
          <w:rFonts w:ascii="宋体" w:hAnsi="宋体" w:hint="eastAsia"/>
          <w:sz w:val="24"/>
          <w:szCs w:val="21"/>
        </w:rPr>
        <w:t>（九）基金托管人私自动用或处分基金资产，根据基金管理人的合法指令、基金合同或托管协议的规定进行处分的除外。</w:t>
      </w:r>
      <w:r>
        <w:rPr>
          <w:rFonts w:ascii="宋体" w:hAnsi="宋体" w:hint="eastAsia"/>
          <w:sz w:val="24"/>
          <w:szCs w:val="21"/>
        </w:rPr>
        <w:t xml:space="preserve"> </w:t>
      </w:r>
    </w:p>
    <w:p w:rsidR="00A674F9" w:rsidRDefault="00CD789A">
      <w:pPr>
        <w:spacing w:line="360" w:lineRule="auto"/>
        <w:ind w:firstLineChars="225" w:firstLine="540"/>
        <w:rPr>
          <w:rFonts w:ascii="宋体" w:hAnsi="宋体"/>
          <w:sz w:val="24"/>
          <w:szCs w:val="21"/>
        </w:rPr>
      </w:pPr>
      <w:r>
        <w:rPr>
          <w:rFonts w:ascii="宋体" w:hAnsi="宋体" w:hint="eastAsia"/>
          <w:sz w:val="24"/>
          <w:szCs w:val="21"/>
        </w:rPr>
        <w:t>（十）基金管理人、基金托管人不得利用基金财产用于下列投资或者活动：（</w:t>
      </w:r>
      <w:r>
        <w:rPr>
          <w:rFonts w:ascii="宋体" w:hAnsi="宋体"/>
          <w:sz w:val="24"/>
          <w:szCs w:val="21"/>
        </w:rPr>
        <w:t>1</w:t>
      </w:r>
      <w:r>
        <w:rPr>
          <w:rFonts w:ascii="宋体" w:hAnsi="宋体" w:hint="eastAsia"/>
          <w:sz w:val="24"/>
          <w:szCs w:val="21"/>
        </w:rPr>
        <w:t>）承销证券；（</w:t>
      </w:r>
      <w:r>
        <w:rPr>
          <w:rFonts w:ascii="宋体" w:hAnsi="宋体"/>
          <w:sz w:val="24"/>
          <w:szCs w:val="21"/>
        </w:rPr>
        <w:t>2</w:t>
      </w:r>
      <w:r>
        <w:rPr>
          <w:rFonts w:ascii="宋体" w:hAnsi="宋体" w:hint="eastAsia"/>
          <w:sz w:val="24"/>
          <w:szCs w:val="21"/>
        </w:rPr>
        <w:t>）违反规定向他人贷款或者提供担保；（</w:t>
      </w:r>
      <w:r>
        <w:rPr>
          <w:rFonts w:ascii="宋体" w:hAnsi="宋体"/>
          <w:sz w:val="24"/>
          <w:szCs w:val="21"/>
        </w:rPr>
        <w:t>3</w:t>
      </w:r>
      <w:r>
        <w:rPr>
          <w:rFonts w:ascii="宋体" w:hAnsi="宋体" w:hint="eastAsia"/>
          <w:sz w:val="24"/>
          <w:szCs w:val="21"/>
        </w:rPr>
        <w:t>）从事承担无限责任的投资；（</w:t>
      </w:r>
      <w:r>
        <w:rPr>
          <w:rFonts w:ascii="宋体" w:hAnsi="宋体"/>
          <w:sz w:val="24"/>
          <w:szCs w:val="21"/>
        </w:rPr>
        <w:t>4</w:t>
      </w:r>
      <w:r>
        <w:rPr>
          <w:rFonts w:ascii="宋体" w:hAnsi="宋体" w:hint="eastAsia"/>
          <w:sz w:val="24"/>
          <w:szCs w:val="21"/>
        </w:rPr>
        <w:t>）向其基金管理人、基金托管人出资；（</w:t>
      </w:r>
      <w:r>
        <w:rPr>
          <w:rFonts w:ascii="宋体" w:hAnsi="宋体" w:hint="eastAsia"/>
          <w:sz w:val="24"/>
          <w:szCs w:val="21"/>
        </w:rPr>
        <w:t>5</w:t>
      </w:r>
      <w:r>
        <w:rPr>
          <w:rFonts w:ascii="宋体" w:hAnsi="宋体" w:hint="eastAsia"/>
          <w:sz w:val="24"/>
          <w:szCs w:val="21"/>
        </w:rPr>
        <w:t>）从事内幕交易、操纵证券交易价格及其他不正当的证券交易活动；（</w:t>
      </w:r>
      <w:r>
        <w:rPr>
          <w:rFonts w:ascii="宋体" w:hAnsi="宋体" w:hint="eastAsia"/>
          <w:sz w:val="24"/>
          <w:szCs w:val="21"/>
        </w:rPr>
        <w:t>6</w:t>
      </w:r>
      <w:r>
        <w:rPr>
          <w:rFonts w:ascii="宋体" w:hAnsi="宋体" w:hint="eastAsia"/>
          <w:sz w:val="24"/>
          <w:szCs w:val="21"/>
        </w:rPr>
        <w:t>）</w:t>
      </w:r>
      <w:r>
        <w:rPr>
          <w:rFonts w:ascii="宋体" w:hAnsi="宋体" w:hint="eastAsia"/>
          <w:sz w:val="24"/>
          <w:szCs w:val="21"/>
        </w:rPr>
        <w:t>依照法律法规有关规定，由中国证监会规定禁止的其他活动。</w:t>
      </w:r>
    </w:p>
    <w:p w:rsidR="00A674F9" w:rsidRDefault="00CD789A">
      <w:pPr>
        <w:spacing w:line="360" w:lineRule="auto"/>
        <w:ind w:firstLineChars="225" w:firstLine="540"/>
        <w:rPr>
          <w:rFonts w:ascii="宋体" w:hAnsi="宋体"/>
          <w:sz w:val="24"/>
          <w:szCs w:val="21"/>
        </w:rPr>
      </w:pPr>
      <w:r>
        <w:rPr>
          <w:rFonts w:ascii="宋体" w:hAnsi="宋体" w:hint="eastAsia"/>
          <w:sz w:val="24"/>
          <w:szCs w:val="21"/>
        </w:rPr>
        <w:t>（十一）法律法规和基金合同禁止的其他行为，以及依照法律法规有关规定，由中国证监会规定禁止基金管理人、基金托管人从事的其他行为。</w:t>
      </w:r>
    </w:p>
    <w:p w:rsidR="00A674F9" w:rsidRDefault="00CD789A">
      <w:pPr>
        <w:spacing w:line="360" w:lineRule="auto"/>
        <w:ind w:firstLineChars="225" w:firstLine="540"/>
        <w:rPr>
          <w:rFonts w:ascii="宋体" w:hAnsi="宋体"/>
          <w:sz w:val="24"/>
          <w:szCs w:val="21"/>
        </w:rPr>
      </w:pPr>
      <w:r>
        <w:rPr>
          <w:rFonts w:ascii="宋体" w:hAnsi="宋体" w:hint="eastAsia"/>
          <w:sz w:val="24"/>
          <w:szCs w:val="21"/>
        </w:rPr>
        <w:t>法律法规或监管机关调整上述禁止行为的，托管协议当事人将按照调整后的规定执行。</w:t>
      </w:r>
    </w:p>
    <w:p w:rsidR="00A674F9" w:rsidRDefault="00CD789A">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67" w:name="_Toc124749951"/>
      <w:bookmarkStart w:id="168" w:name="_Toc125361088"/>
      <w:bookmarkStart w:id="169" w:name="_Toc123626182"/>
      <w:bookmarkStart w:id="170" w:name="_Toc124749238"/>
      <w:bookmarkStart w:id="171" w:name="_Toc140002351"/>
      <w:r>
        <w:rPr>
          <w:rFonts w:ascii="宋体" w:hAnsi="宋体" w:cs="Arial" w:hint="eastAsia"/>
          <w:sz w:val="30"/>
        </w:rPr>
        <w:t>基金托管协议的变更、终止与基金财产的清算</w:t>
      </w:r>
      <w:bookmarkEnd w:id="167"/>
      <w:bookmarkEnd w:id="168"/>
      <w:bookmarkEnd w:id="169"/>
      <w:bookmarkEnd w:id="170"/>
      <w:bookmarkEnd w:id="171"/>
    </w:p>
    <w:p w:rsidR="00A674F9" w:rsidRDefault="00CD789A">
      <w:pPr>
        <w:spacing w:line="360" w:lineRule="auto"/>
        <w:ind w:firstLineChars="200" w:firstLine="480"/>
        <w:rPr>
          <w:rFonts w:ascii="宋体" w:hAnsi="宋体"/>
          <w:sz w:val="24"/>
        </w:rPr>
      </w:pPr>
      <w:r>
        <w:rPr>
          <w:rFonts w:ascii="宋体" w:hAnsi="宋体" w:hint="eastAsia"/>
          <w:sz w:val="24"/>
        </w:rPr>
        <w:t>（一）托管协议的变更与终止</w:t>
      </w:r>
    </w:p>
    <w:p w:rsidR="00A674F9" w:rsidRDefault="00CD789A">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、托管协议的变更程序</w:t>
      </w:r>
    </w:p>
    <w:p w:rsidR="00A674F9" w:rsidRDefault="00CD789A">
      <w:pPr>
        <w:autoSpaceDE w:val="0"/>
        <w:autoSpaceDN w:val="0"/>
        <w:adjustRightInd w:val="0"/>
        <w:spacing w:line="360" w:lineRule="auto"/>
        <w:ind w:firstLineChars="200" w:firstLine="504"/>
        <w:jc w:val="left"/>
        <w:rPr>
          <w:rFonts w:ascii="宋体" w:hAnsi="宋体"/>
          <w:spacing w:val="6"/>
          <w:sz w:val="24"/>
        </w:rPr>
      </w:pPr>
      <w:r>
        <w:rPr>
          <w:rFonts w:ascii="宋体" w:hAnsi="宋体" w:hint="eastAsia"/>
          <w:spacing w:val="6"/>
          <w:sz w:val="24"/>
        </w:rPr>
        <w:t>本协议双方当事人经协商一致，可以对协议的内容进行变更。变更后的托管协议，其内容不得与《基金合同》的规定有任何冲突。基金托管协议的变更报中国证监会备案。</w:t>
      </w:r>
    </w:p>
    <w:p w:rsidR="00A674F9" w:rsidRDefault="00CD789A">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、基金托管协议终止的情形</w:t>
      </w:r>
    </w:p>
    <w:p w:rsidR="00A674F9" w:rsidRDefault="00CD789A">
      <w:pPr>
        <w:autoSpaceDE w:val="0"/>
        <w:autoSpaceDN w:val="0"/>
        <w:adjustRightInd w:val="0"/>
        <w:spacing w:line="360" w:lineRule="auto"/>
        <w:ind w:firstLineChars="200" w:firstLine="504"/>
        <w:jc w:val="left"/>
        <w:rPr>
          <w:rFonts w:ascii="宋体" w:hAnsi="宋体"/>
          <w:spacing w:val="6"/>
          <w:sz w:val="24"/>
        </w:rPr>
      </w:pPr>
      <w:r>
        <w:rPr>
          <w:rFonts w:ascii="宋体" w:hAnsi="宋体" w:hint="eastAsia"/>
          <w:spacing w:val="6"/>
          <w:sz w:val="24"/>
        </w:rPr>
        <w:t>发生以下情况，本托管协议终止：</w:t>
      </w:r>
    </w:p>
    <w:p w:rsidR="00A674F9" w:rsidRDefault="00CD789A">
      <w:pPr>
        <w:autoSpaceDE w:val="0"/>
        <w:autoSpaceDN w:val="0"/>
        <w:adjustRightInd w:val="0"/>
        <w:spacing w:line="360" w:lineRule="auto"/>
        <w:ind w:firstLineChars="200" w:firstLine="504"/>
        <w:jc w:val="left"/>
        <w:rPr>
          <w:rFonts w:ascii="宋体" w:hAnsi="宋体"/>
          <w:spacing w:val="6"/>
          <w:sz w:val="24"/>
        </w:rPr>
      </w:pPr>
      <w:r>
        <w:rPr>
          <w:rFonts w:ascii="宋体" w:hAnsi="宋体" w:hint="eastAsia"/>
          <w:spacing w:val="6"/>
          <w:sz w:val="24"/>
        </w:rPr>
        <w:t>（</w:t>
      </w:r>
      <w:r>
        <w:rPr>
          <w:rFonts w:ascii="宋体" w:hAnsi="宋体" w:hint="eastAsia"/>
          <w:spacing w:val="6"/>
          <w:sz w:val="24"/>
        </w:rPr>
        <w:t>1</w:t>
      </w:r>
      <w:r>
        <w:rPr>
          <w:rFonts w:ascii="宋体" w:hAnsi="宋体" w:hint="eastAsia"/>
          <w:spacing w:val="6"/>
          <w:sz w:val="24"/>
        </w:rPr>
        <w:t>）《基金合同》终止；</w:t>
      </w:r>
    </w:p>
    <w:p w:rsidR="00A674F9" w:rsidRDefault="00CD789A">
      <w:pPr>
        <w:autoSpaceDE w:val="0"/>
        <w:autoSpaceDN w:val="0"/>
        <w:adjustRightInd w:val="0"/>
        <w:spacing w:line="360" w:lineRule="auto"/>
        <w:ind w:firstLineChars="200" w:firstLine="504"/>
        <w:jc w:val="left"/>
        <w:rPr>
          <w:rFonts w:ascii="宋体" w:hAnsi="宋体"/>
          <w:spacing w:val="6"/>
          <w:sz w:val="24"/>
        </w:rPr>
      </w:pPr>
      <w:r>
        <w:rPr>
          <w:rFonts w:ascii="宋体" w:hAnsi="宋体" w:hint="eastAsia"/>
          <w:spacing w:val="6"/>
          <w:sz w:val="24"/>
        </w:rPr>
        <w:t>（</w:t>
      </w:r>
      <w:r>
        <w:rPr>
          <w:rFonts w:ascii="宋体" w:hAnsi="宋体" w:hint="eastAsia"/>
          <w:spacing w:val="6"/>
          <w:sz w:val="24"/>
        </w:rPr>
        <w:t>2</w:t>
      </w:r>
      <w:r>
        <w:rPr>
          <w:rFonts w:ascii="宋体" w:hAnsi="宋体" w:hint="eastAsia"/>
          <w:spacing w:val="6"/>
          <w:sz w:val="24"/>
        </w:rPr>
        <w:t>）基金托管人解散、依法被撤销、破产或有其他基金托管人接管基金资产；</w:t>
      </w:r>
    </w:p>
    <w:p w:rsidR="00A674F9" w:rsidRDefault="00CD789A">
      <w:pPr>
        <w:autoSpaceDE w:val="0"/>
        <w:autoSpaceDN w:val="0"/>
        <w:adjustRightInd w:val="0"/>
        <w:spacing w:line="360" w:lineRule="auto"/>
        <w:ind w:firstLineChars="200" w:firstLine="504"/>
        <w:jc w:val="left"/>
        <w:rPr>
          <w:rFonts w:ascii="宋体" w:hAnsi="宋体"/>
          <w:spacing w:val="6"/>
          <w:sz w:val="24"/>
        </w:rPr>
      </w:pPr>
      <w:r>
        <w:rPr>
          <w:rFonts w:ascii="宋体" w:hAnsi="宋体" w:hint="eastAsia"/>
          <w:spacing w:val="6"/>
          <w:sz w:val="24"/>
        </w:rPr>
        <w:t>（</w:t>
      </w:r>
      <w:r>
        <w:rPr>
          <w:rFonts w:ascii="宋体" w:hAnsi="宋体" w:hint="eastAsia"/>
          <w:spacing w:val="6"/>
          <w:sz w:val="24"/>
        </w:rPr>
        <w:t>3</w:t>
      </w:r>
      <w:r>
        <w:rPr>
          <w:rFonts w:ascii="宋体" w:hAnsi="宋体" w:hint="eastAsia"/>
          <w:spacing w:val="6"/>
          <w:sz w:val="24"/>
        </w:rPr>
        <w:t>）基金管理人解散、依法被撤销、破产或有其他基金管理人接管基金管理权；</w:t>
      </w:r>
    </w:p>
    <w:p w:rsidR="00A674F9" w:rsidRDefault="00CD789A">
      <w:pPr>
        <w:autoSpaceDE w:val="0"/>
        <w:autoSpaceDN w:val="0"/>
        <w:adjustRightInd w:val="0"/>
        <w:spacing w:line="360" w:lineRule="auto"/>
        <w:ind w:firstLineChars="200" w:firstLine="504"/>
        <w:jc w:val="left"/>
        <w:rPr>
          <w:rFonts w:ascii="宋体" w:hAnsi="宋体"/>
          <w:spacing w:val="6"/>
          <w:sz w:val="24"/>
        </w:rPr>
      </w:pPr>
      <w:r>
        <w:rPr>
          <w:rFonts w:ascii="宋体" w:hAnsi="宋体" w:hint="eastAsia"/>
          <w:spacing w:val="6"/>
          <w:sz w:val="24"/>
        </w:rPr>
        <w:t>（</w:t>
      </w:r>
      <w:r>
        <w:rPr>
          <w:rFonts w:ascii="宋体" w:hAnsi="宋体" w:hint="eastAsia"/>
          <w:spacing w:val="6"/>
          <w:sz w:val="24"/>
        </w:rPr>
        <w:t>4</w:t>
      </w:r>
      <w:r>
        <w:rPr>
          <w:rFonts w:ascii="宋体" w:hAnsi="宋体" w:hint="eastAsia"/>
          <w:spacing w:val="6"/>
          <w:sz w:val="24"/>
        </w:rPr>
        <w:t>）发生法律法规或《基金合同》规定的终止事项。</w:t>
      </w:r>
    </w:p>
    <w:p w:rsidR="00A674F9" w:rsidRDefault="00CD789A">
      <w:pPr>
        <w:spacing w:line="360" w:lineRule="auto"/>
        <w:ind w:firstLineChars="200" w:firstLine="480"/>
        <w:rPr>
          <w:rFonts w:ascii="宋体" w:hAnsi="宋体"/>
          <w:sz w:val="24"/>
        </w:rPr>
      </w:pPr>
      <w:r>
        <w:rPr>
          <w:rFonts w:ascii="宋体" w:hAnsi="宋体" w:hint="eastAsia"/>
          <w:sz w:val="24"/>
        </w:rPr>
        <w:t>（二）基金财产的清算</w:t>
      </w:r>
    </w:p>
    <w:p w:rsidR="00A674F9" w:rsidRDefault="00CD789A">
      <w:pPr>
        <w:spacing w:line="360" w:lineRule="auto"/>
        <w:ind w:firstLineChars="200" w:firstLine="480"/>
        <w:rPr>
          <w:rFonts w:ascii="宋体" w:hAnsi="宋体"/>
          <w:sz w:val="24"/>
          <w:szCs w:val="21"/>
        </w:rPr>
      </w:pPr>
      <w:r>
        <w:rPr>
          <w:rFonts w:ascii="宋体" w:hAnsi="宋体" w:hint="eastAsia"/>
          <w:sz w:val="24"/>
          <w:szCs w:val="21"/>
        </w:rPr>
        <w:lastRenderedPageBreak/>
        <w:t>1</w:t>
      </w:r>
      <w:r>
        <w:rPr>
          <w:rFonts w:ascii="宋体" w:hAnsi="宋体" w:hint="eastAsia"/>
          <w:sz w:val="24"/>
          <w:szCs w:val="21"/>
        </w:rPr>
        <w:t>、基金财产清算小组：自出现《基金合同》终止事由之日起</w:t>
      </w:r>
      <w:r>
        <w:rPr>
          <w:rFonts w:ascii="宋体" w:hAnsi="宋体"/>
          <w:sz w:val="24"/>
          <w:szCs w:val="21"/>
        </w:rPr>
        <w:t>30</w:t>
      </w:r>
      <w:r>
        <w:rPr>
          <w:rFonts w:ascii="宋体" w:hAnsi="宋体" w:hint="eastAsia"/>
          <w:sz w:val="24"/>
          <w:szCs w:val="21"/>
        </w:rPr>
        <w:t>个工作日内成立清算小组，基金管理人组织基金财产清算小组并在中国证监会的监督下进行基金清算。</w:t>
      </w:r>
    </w:p>
    <w:p w:rsidR="00A674F9" w:rsidRDefault="00CD789A">
      <w:pPr>
        <w:spacing w:line="360" w:lineRule="auto"/>
        <w:ind w:firstLineChars="200" w:firstLine="480"/>
        <w:rPr>
          <w:rFonts w:ascii="宋体" w:hAnsi="宋体"/>
          <w:sz w:val="24"/>
          <w:szCs w:val="21"/>
        </w:rPr>
      </w:pPr>
      <w:r>
        <w:rPr>
          <w:rFonts w:ascii="宋体" w:hAnsi="宋体" w:hint="eastAsia"/>
          <w:sz w:val="24"/>
          <w:szCs w:val="21"/>
        </w:rPr>
        <w:t>2</w:t>
      </w:r>
      <w:r>
        <w:rPr>
          <w:rFonts w:ascii="宋体" w:hAnsi="宋体" w:hint="eastAsia"/>
          <w:sz w:val="24"/>
          <w:szCs w:val="21"/>
        </w:rPr>
        <w:t>、</w:t>
      </w:r>
      <w:r>
        <w:rPr>
          <w:rFonts w:ascii="宋体" w:hAnsi="宋体" w:hint="eastAsia"/>
          <w:kern w:val="0"/>
          <w:sz w:val="24"/>
        </w:rPr>
        <w:t>在基金财产清算小组接管基金财产之前，基金管理人和基金托</w:t>
      </w:r>
      <w:r>
        <w:rPr>
          <w:rFonts w:ascii="宋体" w:hAnsi="宋体" w:hint="eastAsia"/>
          <w:kern w:val="0"/>
          <w:sz w:val="24"/>
        </w:rPr>
        <w:t>管人应按照《基金合同》和本托管协议的规定继续履行保护基金财产安全的职责。</w:t>
      </w:r>
    </w:p>
    <w:p w:rsidR="00A674F9" w:rsidRDefault="00CD789A">
      <w:pPr>
        <w:spacing w:line="360" w:lineRule="auto"/>
        <w:ind w:firstLineChars="200" w:firstLine="480"/>
        <w:rPr>
          <w:rFonts w:ascii="宋体" w:hAnsi="宋体"/>
          <w:sz w:val="24"/>
          <w:szCs w:val="21"/>
        </w:rPr>
      </w:pPr>
      <w:r>
        <w:rPr>
          <w:rFonts w:ascii="宋体" w:hAnsi="宋体" w:hint="eastAsia"/>
          <w:sz w:val="24"/>
          <w:szCs w:val="21"/>
        </w:rPr>
        <w:t>3</w:t>
      </w:r>
      <w:r>
        <w:rPr>
          <w:rFonts w:ascii="宋体" w:hAnsi="宋体" w:hint="eastAsia"/>
          <w:sz w:val="24"/>
          <w:szCs w:val="21"/>
        </w:rPr>
        <w:t>、基金财产清算小组组成：基金财产清算小组成员由基金管理人、基金托管人、具有</w:t>
      </w:r>
      <w:r>
        <w:rPr>
          <w:rFonts w:ascii="宋体" w:hAnsi="宋体" w:hint="eastAsia"/>
          <w:sz w:val="24"/>
          <w:szCs w:val="21"/>
        </w:rPr>
        <w:t>证券</w:t>
      </w:r>
      <w:r>
        <w:rPr>
          <w:rFonts w:ascii="宋体" w:hAnsi="宋体" w:hint="eastAsia"/>
          <w:sz w:val="24"/>
          <w:szCs w:val="21"/>
        </w:rPr>
        <w:t>、期货</w:t>
      </w:r>
      <w:r>
        <w:rPr>
          <w:rFonts w:ascii="宋体" w:hAnsi="宋体" w:hint="eastAsia"/>
          <w:sz w:val="24"/>
          <w:szCs w:val="21"/>
        </w:rPr>
        <w:t>相关业务资格的注册会计师、律师以及</w:t>
      </w:r>
      <w:r>
        <w:rPr>
          <w:rFonts w:ascii="宋体" w:hAnsi="宋体" w:hint="eastAsia"/>
          <w:sz w:val="24"/>
          <w:szCs w:val="18"/>
        </w:rPr>
        <w:t>中国证监会指定的人员</w:t>
      </w:r>
      <w:r>
        <w:rPr>
          <w:rFonts w:ascii="宋体" w:hAnsi="宋体" w:hint="eastAsia"/>
          <w:sz w:val="24"/>
          <w:szCs w:val="21"/>
        </w:rPr>
        <w:t>组成。基金财产清算小组可以聘用必要的工作人员。</w:t>
      </w:r>
    </w:p>
    <w:p w:rsidR="00A674F9" w:rsidRDefault="00CD789A">
      <w:pPr>
        <w:spacing w:line="360" w:lineRule="auto"/>
        <w:ind w:firstLineChars="200" w:firstLine="480"/>
        <w:rPr>
          <w:rFonts w:ascii="宋体" w:hAnsi="宋体"/>
          <w:sz w:val="24"/>
          <w:szCs w:val="21"/>
        </w:rPr>
      </w:pPr>
      <w:r>
        <w:rPr>
          <w:rFonts w:ascii="宋体" w:hAnsi="宋体" w:hint="eastAsia"/>
          <w:sz w:val="24"/>
          <w:szCs w:val="21"/>
        </w:rPr>
        <w:t>4</w:t>
      </w:r>
      <w:r>
        <w:rPr>
          <w:rFonts w:ascii="宋体" w:hAnsi="宋体" w:hint="eastAsia"/>
          <w:sz w:val="24"/>
          <w:szCs w:val="21"/>
        </w:rPr>
        <w:t>、基金财产清算小组职责：基金财产清算小组负责基金财产的保管、清理、估价、变现和分配。基金财产清算小组可以依法进行必要的民事活动。</w:t>
      </w:r>
    </w:p>
    <w:p w:rsidR="00A674F9" w:rsidRDefault="00CD789A">
      <w:pPr>
        <w:tabs>
          <w:tab w:val="left" w:pos="6435"/>
        </w:tabs>
        <w:spacing w:line="360" w:lineRule="auto"/>
        <w:ind w:firstLineChars="200" w:firstLine="480"/>
        <w:rPr>
          <w:rFonts w:ascii="宋体" w:hAnsi="宋体"/>
          <w:sz w:val="24"/>
          <w:szCs w:val="21"/>
        </w:rPr>
      </w:pPr>
      <w:r>
        <w:rPr>
          <w:rFonts w:ascii="宋体" w:hAnsi="宋体" w:hint="eastAsia"/>
          <w:sz w:val="24"/>
          <w:szCs w:val="21"/>
        </w:rPr>
        <w:t>5</w:t>
      </w:r>
      <w:r>
        <w:rPr>
          <w:rFonts w:ascii="宋体" w:hAnsi="宋体" w:hint="eastAsia"/>
          <w:sz w:val="24"/>
          <w:szCs w:val="21"/>
        </w:rPr>
        <w:t>、基金财产清算程序：</w:t>
      </w:r>
      <w:r>
        <w:rPr>
          <w:rFonts w:ascii="宋体" w:hAnsi="宋体"/>
          <w:sz w:val="24"/>
          <w:szCs w:val="21"/>
        </w:rPr>
        <w:tab/>
      </w:r>
    </w:p>
    <w:p w:rsidR="00A674F9" w:rsidRDefault="00CD789A">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1</w:t>
      </w:r>
      <w:r>
        <w:rPr>
          <w:rFonts w:ascii="宋体" w:hAnsi="宋体" w:hint="eastAsia"/>
          <w:sz w:val="24"/>
          <w:szCs w:val="21"/>
        </w:rPr>
        <w:t>）《基金合同》终止后，由基金财产清算小组统一接管基金；</w:t>
      </w:r>
    </w:p>
    <w:p w:rsidR="00A674F9" w:rsidRDefault="00CD789A">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2</w:t>
      </w:r>
      <w:r>
        <w:rPr>
          <w:rFonts w:ascii="宋体" w:hAnsi="宋体" w:hint="eastAsia"/>
          <w:sz w:val="24"/>
          <w:szCs w:val="21"/>
        </w:rPr>
        <w:t>）对基金财产和债权债务进行清理和确认；</w:t>
      </w:r>
    </w:p>
    <w:p w:rsidR="00A674F9" w:rsidRDefault="00CD789A">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3</w:t>
      </w:r>
      <w:r>
        <w:rPr>
          <w:rFonts w:ascii="宋体" w:hAnsi="宋体" w:hint="eastAsia"/>
          <w:sz w:val="24"/>
          <w:szCs w:val="21"/>
        </w:rPr>
        <w:t>）对基金财产进行估值和变现；</w:t>
      </w:r>
    </w:p>
    <w:p w:rsidR="00A674F9" w:rsidRDefault="00CD789A">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4</w:t>
      </w:r>
      <w:r>
        <w:rPr>
          <w:rFonts w:ascii="宋体" w:hAnsi="宋体" w:hint="eastAsia"/>
          <w:sz w:val="24"/>
          <w:szCs w:val="21"/>
        </w:rPr>
        <w:t>）制作清算报告；</w:t>
      </w:r>
    </w:p>
    <w:p w:rsidR="00A674F9" w:rsidRDefault="00CD789A">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5</w:t>
      </w:r>
      <w:r>
        <w:rPr>
          <w:rFonts w:ascii="宋体" w:hAnsi="宋体" w:hint="eastAsia"/>
          <w:sz w:val="24"/>
          <w:szCs w:val="21"/>
        </w:rPr>
        <w:t>）</w:t>
      </w:r>
      <w:r>
        <w:rPr>
          <w:bCs/>
          <w:sz w:val="24"/>
        </w:rPr>
        <w:t>聘请会计师事务所对清算报告进行外部审计，聘请律师事务所对清算报告出具法律意见书；</w:t>
      </w:r>
    </w:p>
    <w:p w:rsidR="00A674F9" w:rsidRDefault="00CD789A">
      <w:pPr>
        <w:spacing w:line="360" w:lineRule="auto"/>
        <w:ind w:firstLineChars="100" w:firstLine="240"/>
        <w:rPr>
          <w:rFonts w:ascii="宋体" w:hAnsi="宋体"/>
          <w:kern w:val="0"/>
          <w:sz w:val="24"/>
        </w:rPr>
      </w:pPr>
      <w:r>
        <w:rPr>
          <w:rFonts w:ascii="宋体" w:hAnsi="宋体" w:hint="eastAsia"/>
          <w:sz w:val="24"/>
          <w:szCs w:val="21"/>
        </w:rPr>
        <w:t xml:space="preserve"> </w:t>
      </w:r>
      <w:r>
        <w:rPr>
          <w:rFonts w:ascii="宋体" w:hAnsi="宋体" w:hint="eastAsia"/>
          <w:sz w:val="24"/>
          <w:szCs w:val="21"/>
        </w:rPr>
        <w:t>（</w:t>
      </w:r>
      <w:r>
        <w:rPr>
          <w:rFonts w:ascii="宋体" w:hAnsi="宋体" w:hint="eastAsia"/>
          <w:sz w:val="24"/>
          <w:szCs w:val="21"/>
        </w:rPr>
        <w:t>6</w:t>
      </w:r>
      <w:r>
        <w:rPr>
          <w:rFonts w:ascii="宋体" w:hAnsi="宋体" w:hint="eastAsia"/>
          <w:sz w:val="24"/>
          <w:szCs w:val="21"/>
        </w:rPr>
        <w:t>）将清算报告报告中国证监会备案并公告；</w:t>
      </w:r>
    </w:p>
    <w:p w:rsidR="00A674F9" w:rsidRDefault="00CD789A">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7</w:t>
      </w:r>
      <w:r>
        <w:rPr>
          <w:rFonts w:ascii="宋体" w:hAnsi="宋体" w:hint="eastAsia"/>
          <w:sz w:val="24"/>
          <w:szCs w:val="21"/>
        </w:rPr>
        <w:t>）</w:t>
      </w:r>
      <w:r>
        <w:rPr>
          <w:bCs/>
          <w:sz w:val="24"/>
        </w:rPr>
        <w:t>对基金财产进行分配；</w:t>
      </w:r>
    </w:p>
    <w:p w:rsidR="00A674F9" w:rsidRDefault="00CD789A">
      <w:pPr>
        <w:adjustRightInd w:val="0"/>
        <w:snapToGrid w:val="0"/>
        <w:spacing w:line="360" w:lineRule="auto"/>
        <w:ind w:firstLineChars="200" w:firstLine="480"/>
        <w:rPr>
          <w:rFonts w:ascii="宋体" w:hAnsi="宋体" w:cs="Arial"/>
          <w:sz w:val="24"/>
          <w:szCs w:val="21"/>
        </w:rPr>
      </w:pPr>
      <w:r>
        <w:rPr>
          <w:rFonts w:ascii="宋体" w:hAnsi="宋体" w:cs="Arial" w:hint="eastAsia"/>
          <w:sz w:val="24"/>
          <w:szCs w:val="21"/>
        </w:rPr>
        <w:t>6</w:t>
      </w:r>
      <w:r>
        <w:rPr>
          <w:rFonts w:ascii="宋体" w:hAnsi="宋体" w:cs="Arial" w:hint="eastAsia"/>
          <w:sz w:val="24"/>
          <w:szCs w:val="21"/>
        </w:rPr>
        <w:t>、清算费用</w:t>
      </w:r>
    </w:p>
    <w:p w:rsidR="00A674F9" w:rsidRDefault="00CD789A">
      <w:pPr>
        <w:adjustRightInd w:val="0"/>
        <w:snapToGrid w:val="0"/>
        <w:spacing w:line="360" w:lineRule="auto"/>
        <w:ind w:firstLineChars="200" w:firstLine="480"/>
        <w:rPr>
          <w:rFonts w:ascii="宋体" w:hAnsi="宋体" w:cs="Arial"/>
          <w:sz w:val="24"/>
          <w:szCs w:val="21"/>
        </w:rPr>
      </w:pPr>
      <w:r>
        <w:rPr>
          <w:rFonts w:ascii="宋体" w:hAnsi="宋体" w:cs="Arial" w:hint="eastAsia"/>
          <w:sz w:val="24"/>
          <w:szCs w:val="21"/>
        </w:rPr>
        <w:t>清算费用是指基金清算小组在进行基金清算过程中发生的所有合理费用，清算费用由基金清算小组优先从基金财产中支付。</w:t>
      </w:r>
    </w:p>
    <w:p w:rsidR="00A674F9" w:rsidRDefault="00CD789A">
      <w:pPr>
        <w:adjustRightInd w:val="0"/>
        <w:snapToGrid w:val="0"/>
        <w:spacing w:line="360" w:lineRule="auto"/>
        <w:ind w:firstLineChars="200" w:firstLine="480"/>
        <w:rPr>
          <w:rFonts w:ascii="宋体" w:hAnsi="宋体" w:cs="Arial"/>
          <w:sz w:val="24"/>
          <w:szCs w:val="21"/>
        </w:rPr>
      </w:pPr>
      <w:r>
        <w:rPr>
          <w:rFonts w:ascii="宋体" w:hAnsi="宋体" w:cs="Arial" w:hint="eastAsia"/>
          <w:sz w:val="24"/>
          <w:szCs w:val="21"/>
        </w:rPr>
        <w:t>7</w:t>
      </w:r>
      <w:r>
        <w:rPr>
          <w:rFonts w:ascii="宋体" w:hAnsi="宋体" w:cs="Arial" w:hint="eastAsia"/>
          <w:sz w:val="24"/>
          <w:szCs w:val="21"/>
        </w:rPr>
        <w:t>、基金财产按下列顺序清偿：</w:t>
      </w:r>
    </w:p>
    <w:p w:rsidR="00A674F9" w:rsidRDefault="00CD789A">
      <w:pPr>
        <w:adjustRightInd w:val="0"/>
        <w:snapToGrid w:val="0"/>
        <w:spacing w:line="360" w:lineRule="auto"/>
        <w:ind w:firstLineChars="200" w:firstLine="480"/>
        <w:rPr>
          <w:rFonts w:ascii="宋体" w:hAnsi="宋体" w:cs="Arial"/>
          <w:sz w:val="24"/>
          <w:szCs w:val="21"/>
        </w:rPr>
      </w:pPr>
      <w:r>
        <w:rPr>
          <w:rFonts w:ascii="宋体" w:hAnsi="宋体" w:cs="Arial" w:hint="eastAsia"/>
          <w:sz w:val="24"/>
          <w:szCs w:val="21"/>
        </w:rPr>
        <w:t>(1)</w:t>
      </w:r>
      <w:r>
        <w:rPr>
          <w:rFonts w:ascii="宋体" w:hAnsi="宋体" w:cs="Arial" w:hint="eastAsia"/>
          <w:sz w:val="24"/>
          <w:szCs w:val="21"/>
        </w:rPr>
        <w:t>支付清算费用；</w:t>
      </w:r>
    </w:p>
    <w:p w:rsidR="00A674F9" w:rsidRDefault="00CD789A">
      <w:pPr>
        <w:adjustRightInd w:val="0"/>
        <w:snapToGrid w:val="0"/>
        <w:spacing w:line="360" w:lineRule="auto"/>
        <w:ind w:firstLineChars="200" w:firstLine="480"/>
        <w:rPr>
          <w:rFonts w:ascii="宋体" w:hAnsi="宋体" w:cs="Arial"/>
          <w:sz w:val="24"/>
          <w:szCs w:val="21"/>
        </w:rPr>
      </w:pPr>
      <w:r>
        <w:rPr>
          <w:rFonts w:ascii="宋体" w:hAnsi="宋体" w:cs="Arial" w:hint="eastAsia"/>
          <w:sz w:val="24"/>
          <w:szCs w:val="21"/>
        </w:rPr>
        <w:t>(2)</w:t>
      </w:r>
      <w:r>
        <w:rPr>
          <w:rFonts w:ascii="宋体" w:hAnsi="宋体" w:cs="Arial" w:hint="eastAsia"/>
          <w:sz w:val="24"/>
          <w:szCs w:val="21"/>
        </w:rPr>
        <w:t>交纳所欠税款；</w:t>
      </w:r>
    </w:p>
    <w:p w:rsidR="00A674F9" w:rsidRDefault="00CD789A">
      <w:pPr>
        <w:adjustRightInd w:val="0"/>
        <w:snapToGrid w:val="0"/>
        <w:spacing w:line="360" w:lineRule="auto"/>
        <w:ind w:firstLineChars="200" w:firstLine="480"/>
        <w:rPr>
          <w:rFonts w:ascii="宋体" w:hAnsi="宋体" w:cs="Arial"/>
          <w:sz w:val="24"/>
          <w:szCs w:val="21"/>
        </w:rPr>
      </w:pPr>
      <w:r>
        <w:rPr>
          <w:rFonts w:ascii="宋体" w:hAnsi="宋体" w:cs="Arial" w:hint="eastAsia"/>
          <w:sz w:val="24"/>
          <w:szCs w:val="21"/>
        </w:rPr>
        <w:t>(3)</w:t>
      </w:r>
      <w:r>
        <w:rPr>
          <w:rFonts w:ascii="宋体" w:hAnsi="宋体" w:cs="Arial" w:hint="eastAsia"/>
          <w:sz w:val="24"/>
          <w:szCs w:val="21"/>
        </w:rPr>
        <w:t>清偿基金债务；</w:t>
      </w:r>
    </w:p>
    <w:p w:rsidR="00A674F9" w:rsidRDefault="00CD789A">
      <w:pPr>
        <w:adjustRightInd w:val="0"/>
        <w:snapToGrid w:val="0"/>
        <w:spacing w:line="360" w:lineRule="auto"/>
        <w:ind w:firstLineChars="200" w:firstLine="480"/>
        <w:rPr>
          <w:rFonts w:ascii="宋体" w:hAnsi="宋体" w:cs="Arial"/>
          <w:sz w:val="24"/>
          <w:szCs w:val="21"/>
        </w:rPr>
      </w:pPr>
      <w:r>
        <w:rPr>
          <w:rFonts w:ascii="宋体" w:hAnsi="宋体" w:cs="Arial" w:hint="eastAsia"/>
          <w:sz w:val="24"/>
          <w:szCs w:val="21"/>
        </w:rPr>
        <w:t>(4)</w:t>
      </w:r>
      <w:r>
        <w:rPr>
          <w:rFonts w:ascii="宋体" w:hAnsi="宋体" w:cs="Arial" w:hint="eastAsia"/>
          <w:sz w:val="24"/>
          <w:szCs w:val="21"/>
        </w:rPr>
        <w:t>按基金份额持有人持有的基金份额比例进行分配。</w:t>
      </w:r>
    </w:p>
    <w:p w:rsidR="00A674F9" w:rsidRDefault="00CD789A">
      <w:pPr>
        <w:spacing w:line="360" w:lineRule="auto"/>
        <w:ind w:firstLine="200"/>
        <w:rPr>
          <w:rFonts w:ascii="宋体" w:hAnsi="宋体" w:cs="Arial"/>
          <w:sz w:val="24"/>
          <w:szCs w:val="21"/>
        </w:rPr>
      </w:pPr>
      <w:r>
        <w:rPr>
          <w:rFonts w:ascii="宋体" w:hAnsi="宋体" w:cs="Arial" w:hint="eastAsia"/>
          <w:sz w:val="24"/>
          <w:szCs w:val="21"/>
        </w:rPr>
        <w:t>基金财产未按前款</w:t>
      </w:r>
      <w:r>
        <w:rPr>
          <w:rFonts w:ascii="宋体" w:hAnsi="宋体" w:cs="Arial" w:hint="eastAsia"/>
          <w:sz w:val="24"/>
          <w:szCs w:val="21"/>
        </w:rPr>
        <w:t>(1)</w:t>
      </w:r>
      <w:r>
        <w:rPr>
          <w:rFonts w:ascii="宋体" w:hAnsi="宋体" w:cs="Arial" w:hint="eastAsia"/>
          <w:sz w:val="24"/>
          <w:szCs w:val="21"/>
        </w:rPr>
        <w:t>－</w:t>
      </w:r>
      <w:r>
        <w:rPr>
          <w:rFonts w:ascii="宋体" w:hAnsi="宋体" w:cs="Arial" w:hint="eastAsia"/>
          <w:sz w:val="24"/>
          <w:szCs w:val="21"/>
        </w:rPr>
        <w:t>(</w:t>
      </w:r>
      <w:r>
        <w:rPr>
          <w:rFonts w:ascii="宋体" w:hAnsi="宋体" w:cs="Arial"/>
          <w:sz w:val="24"/>
          <w:szCs w:val="21"/>
        </w:rPr>
        <w:t>3</w:t>
      </w:r>
      <w:r>
        <w:rPr>
          <w:rFonts w:ascii="宋体" w:hAnsi="宋体" w:cs="Arial" w:hint="eastAsia"/>
          <w:sz w:val="24"/>
          <w:szCs w:val="21"/>
        </w:rPr>
        <w:t>)</w:t>
      </w:r>
      <w:r>
        <w:rPr>
          <w:rFonts w:ascii="宋体" w:hAnsi="宋体" w:cs="Arial" w:hint="eastAsia"/>
          <w:sz w:val="24"/>
          <w:szCs w:val="21"/>
        </w:rPr>
        <w:t>项规定清偿前，不分配给基金份额持有人。</w:t>
      </w:r>
    </w:p>
    <w:p w:rsidR="00A674F9" w:rsidRDefault="00CD789A">
      <w:pPr>
        <w:spacing w:line="360" w:lineRule="auto"/>
        <w:ind w:firstLineChars="200" w:firstLine="482"/>
        <w:rPr>
          <w:rFonts w:ascii="宋体" w:hAnsi="宋体"/>
          <w:b/>
          <w:bCs/>
          <w:sz w:val="24"/>
        </w:rPr>
      </w:pPr>
      <w:r>
        <w:rPr>
          <w:rFonts w:ascii="宋体" w:hAnsi="宋体" w:hint="eastAsia"/>
          <w:b/>
          <w:bCs/>
          <w:sz w:val="24"/>
        </w:rPr>
        <w:t>（三）基金财产清算的公告</w:t>
      </w:r>
    </w:p>
    <w:p w:rsidR="00A674F9" w:rsidRDefault="00CD789A">
      <w:pPr>
        <w:spacing w:line="360" w:lineRule="auto"/>
        <w:ind w:firstLineChars="200" w:firstLine="480"/>
        <w:rPr>
          <w:rFonts w:ascii="宋体" w:hAnsi="宋体"/>
          <w:sz w:val="24"/>
        </w:rPr>
      </w:pPr>
      <w:r>
        <w:rPr>
          <w:rFonts w:ascii="宋体" w:hAnsi="宋体" w:hint="eastAsia"/>
          <w:sz w:val="24"/>
        </w:rPr>
        <w:t>清算过程中的有关重大事项须及时公告；基金财产清算报告经会计师事务所</w:t>
      </w:r>
      <w:r>
        <w:rPr>
          <w:rFonts w:ascii="宋体" w:hAnsi="宋体" w:hint="eastAsia"/>
          <w:sz w:val="24"/>
        </w:rPr>
        <w:lastRenderedPageBreak/>
        <w:t>审计并由律师事务所出具法律意见书后报中国证监会备案并公告。</w:t>
      </w:r>
      <w:r>
        <w:rPr>
          <w:rFonts w:ascii="宋体" w:hAnsi="宋体"/>
          <w:sz w:val="24"/>
        </w:rPr>
        <w:t>基金财产清算公告于</w:t>
      </w:r>
      <w:r>
        <w:rPr>
          <w:rFonts w:ascii="宋体" w:hAnsi="宋体" w:hint="eastAsia"/>
          <w:sz w:val="24"/>
        </w:rPr>
        <w:t>《基金合同》终止并报中国证监会备案后</w:t>
      </w:r>
      <w:r>
        <w:rPr>
          <w:rFonts w:ascii="宋体" w:hAnsi="宋体"/>
          <w:sz w:val="24"/>
        </w:rPr>
        <w:t>5</w:t>
      </w:r>
      <w:r>
        <w:rPr>
          <w:rFonts w:ascii="宋体" w:hAnsi="宋体" w:hint="eastAsia"/>
          <w:sz w:val="24"/>
        </w:rPr>
        <w:t>个工作日内由基金财产清算小组进行公告。</w:t>
      </w:r>
    </w:p>
    <w:p w:rsidR="00A674F9" w:rsidRDefault="00CD789A">
      <w:pPr>
        <w:spacing w:line="360" w:lineRule="auto"/>
        <w:ind w:firstLineChars="200" w:firstLine="482"/>
        <w:rPr>
          <w:rFonts w:ascii="宋体" w:hAnsi="宋体"/>
          <w:b/>
          <w:bCs/>
          <w:sz w:val="24"/>
        </w:rPr>
      </w:pPr>
      <w:r>
        <w:rPr>
          <w:rFonts w:ascii="宋体" w:hAnsi="宋体" w:hint="eastAsia"/>
          <w:b/>
          <w:bCs/>
          <w:sz w:val="24"/>
        </w:rPr>
        <w:t>（四）基金财产清算账册及文件的保存</w:t>
      </w:r>
    </w:p>
    <w:p w:rsidR="00A674F9" w:rsidRDefault="00CD789A">
      <w:pPr>
        <w:spacing w:line="360" w:lineRule="auto"/>
        <w:ind w:firstLine="200"/>
        <w:rPr>
          <w:rFonts w:ascii="宋体" w:hAnsi="宋体"/>
          <w:sz w:val="24"/>
        </w:rPr>
      </w:pPr>
      <w:r>
        <w:rPr>
          <w:rFonts w:ascii="宋体" w:hAnsi="宋体" w:hint="eastAsia"/>
          <w:sz w:val="24"/>
        </w:rPr>
        <w:t>基金财产清算账册及有关文件由基金托管人保存</w:t>
      </w:r>
      <w:r>
        <w:rPr>
          <w:rFonts w:ascii="宋体" w:hAnsi="宋体"/>
          <w:sz w:val="24"/>
        </w:rPr>
        <w:t>15</w:t>
      </w:r>
      <w:r>
        <w:rPr>
          <w:rFonts w:ascii="宋体" w:hAnsi="宋体" w:hint="eastAsia"/>
          <w:sz w:val="24"/>
        </w:rPr>
        <w:t>年以上。</w:t>
      </w:r>
    </w:p>
    <w:p w:rsidR="00A674F9" w:rsidRDefault="00CD789A">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72" w:name="_Toc123626183"/>
      <w:bookmarkStart w:id="173" w:name="_Toc140002352"/>
      <w:bookmarkStart w:id="174" w:name="_Toc124749952"/>
      <w:bookmarkStart w:id="175" w:name="_Toc125361089"/>
      <w:bookmarkStart w:id="176" w:name="_Toc124749239"/>
      <w:r>
        <w:rPr>
          <w:rFonts w:ascii="宋体" w:hAnsi="宋体" w:cs="Arial" w:hint="eastAsia"/>
          <w:sz w:val="30"/>
        </w:rPr>
        <w:t>违约责任</w:t>
      </w:r>
      <w:bookmarkEnd w:id="172"/>
      <w:bookmarkEnd w:id="173"/>
      <w:bookmarkEnd w:id="174"/>
      <w:bookmarkEnd w:id="175"/>
      <w:bookmarkEnd w:id="176"/>
    </w:p>
    <w:p w:rsidR="00A674F9" w:rsidRDefault="00CD789A">
      <w:pPr>
        <w:spacing w:line="360" w:lineRule="auto"/>
        <w:ind w:firstLineChars="200" w:firstLine="480"/>
        <w:rPr>
          <w:rFonts w:ascii="宋体" w:hAnsi="宋体"/>
          <w:sz w:val="24"/>
        </w:rPr>
      </w:pPr>
      <w:r>
        <w:rPr>
          <w:rFonts w:ascii="宋体" w:hAnsi="宋体" w:hint="eastAsia"/>
          <w:sz w:val="24"/>
        </w:rPr>
        <w:t>（一）如果基金管理人或基金托管人的不履行本托管协议或者履行本托管协议不符合约定的，应当承担违约责任。</w:t>
      </w:r>
    </w:p>
    <w:p w:rsidR="00A674F9" w:rsidRDefault="00CD789A">
      <w:pPr>
        <w:spacing w:line="360" w:lineRule="auto"/>
        <w:ind w:firstLineChars="200" w:firstLine="480"/>
        <w:rPr>
          <w:rFonts w:ascii="宋体" w:hAnsi="宋体"/>
          <w:sz w:val="24"/>
        </w:rPr>
      </w:pPr>
      <w:r>
        <w:rPr>
          <w:rFonts w:ascii="宋体" w:hAnsi="宋体" w:hint="eastAsia"/>
          <w:sz w:val="24"/>
        </w:rPr>
        <w:t>（二）因托管协议当事人违约给基金财产或者基金份额持有人造成损害的，应当分别对各自的行为依法承担赔偿责任，因共同行为给基金财产或者基金份额持有人造成损害的，应当承担连带赔偿责任。但是发生下列情况，当事人可以免责：</w:t>
      </w:r>
    </w:p>
    <w:p w:rsidR="00A674F9" w:rsidRDefault="00CD789A">
      <w:pPr>
        <w:spacing w:line="360" w:lineRule="auto"/>
        <w:ind w:firstLineChars="200" w:firstLine="480"/>
        <w:rPr>
          <w:sz w:val="24"/>
        </w:rPr>
      </w:pPr>
      <w:r>
        <w:rPr>
          <w:rFonts w:hint="eastAsia"/>
          <w:sz w:val="24"/>
        </w:rPr>
        <w:t>1</w:t>
      </w:r>
      <w:r>
        <w:rPr>
          <w:rFonts w:hint="eastAsia"/>
          <w:sz w:val="24"/>
        </w:rPr>
        <w:t>、基金</w:t>
      </w:r>
      <w:r>
        <w:rPr>
          <w:rFonts w:ascii="宋体" w:hAnsi="宋体" w:hint="eastAsia"/>
          <w:sz w:val="24"/>
          <w:szCs w:val="21"/>
        </w:rPr>
        <w:t>管理</w:t>
      </w:r>
      <w:r>
        <w:rPr>
          <w:rFonts w:hint="eastAsia"/>
          <w:sz w:val="24"/>
        </w:rPr>
        <w:t>人及基金托管人按照当时有效的法律法规或中国证监会的规定作为或不作为而造成的损失等；</w:t>
      </w:r>
    </w:p>
    <w:p w:rsidR="00A674F9" w:rsidRDefault="00CD789A">
      <w:pPr>
        <w:spacing w:line="360" w:lineRule="auto"/>
        <w:ind w:firstLineChars="200" w:firstLine="480"/>
        <w:rPr>
          <w:sz w:val="24"/>
        </w:rPr>
      </w:pPr>
      <w:r>
        <w:rPr>
          <w:rFonts w:hint="eastAsia"/>
          <w:sz w:val="24"/>
        </w:rPr>
        <w:t>2</w:t>
      </w:r>
      <w:r>
        <w:rPr>
          <w:rFonts w:hint="eastAsia"/>
          <w:sz w:val="24"/>
        </w:rPr>
        <w:t>、基金管理人由于按照《基金合同》规定的投资原则而行使或不行使其投资权而造成的损失等；</w:t>
      </w:r>
    </w:p>
    <w:p w:rsidR="00A674F9" w:rsidRDefault="00CD789A">
      <w:pPr>
        <w:tabs>
          <w:tab w:val="right" w:pos="8306"/>
        </w:tabs>
        <w:spacing w:line="360" w:lineRule="auto"/>
        <w:ind w:firstLineChars="200" w:firstLine="480"/>
        <w:rPr>
          <w:sz w:val="24"/>
        </w:rPr>
      </w:pPr>
      <w:r>
        <w:rPr>
          <w:rFonts w:hint="eastAsia"/>
          <w:sz w:val="24"/>
        </w:rPr>
        <w:t>3</w:t>
      </w:r>
      <w:r>
        <w:rPr>
          <w:rFonts w:hint="eastAsia"/>
          <w:sz w:val="24"/>
        </w:rPr>
        <w:t>、</w:t>
      </w:r>
      <w:r>
        <w:rPr>
          <w:rFonts w:ascii="宋体" w:hAnsi="宋体" w:hint="eastAsia"/>
          <w:sz w:val="24"/>
        </w:rPr>
        <w:t>不可抗力。</w:t>
      </w:r>
      <w:r>
        <w:rPr>
          <w:sz w:val="24"/>
        </w:rPr>
        <w:tab/>
      </w:r>
    </w:p>
    <w:p w:rsidR="00A674F9" w:rsidRDefault="00CD789A">
      <w:pPr>
        <w:spacing w:line="360" w:lineRule="auto"/>
        <w:ind w:firstLineChars="200" w:firstLine="480"/>
        <w:rPr>
          <w:rFonts w:ascii="宋体" w:hAnsi="宋体"/>
          <w:sz w:val="24"/>
        </w:rPr>
      </w:pPr>
      <w:r>
        <w:rPr>
          <w:rFonts w:ascii="宋体" w:hAnsi="宋体" w:hint="eastAsia"/>
          <w:sz w:val="24"/>
        </w:rPr>
        <w:t>（三）托管协议当事人违反托管协议，给另一方当事人造成损失的，应承担赔偿责任。</w:t>
      </w:r>
    </w:p>
    <w:p w:rsidR="00A674F9" w:rsidRDefault="00CD789A">
      <w:pPr>
        <w:spacing w:line="360" w:lineRule="auto"/>
        <w:ind w:firstLineChars="200" w:firstLine="480"/>
        <w:rPr>
          <w:rFonts w:ascii="宋体" w:hAnsi="宋体"/>
          <w:sz w:val="24"/>
        </w:rPr>
      </w:pPr>
      <w:r>
        <w:rPr>
          <w:rFonts w:hint="eastAsia"/>
          <w:sz w:val="24"/>
        </w:rPr>
        <w:t>（四）当</w:t>
      </w:r>
      <w:r>
        <w:rPr>
          <w:rFonts w:ascii="宋体" w:hAnsi="宋体" w:hint="eastAsia"/>
          <w:sz w:val="24"/>
        </w:rPr>
        <w:t>事人一方违约，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A674F9" w:rsidRDefault="00CD789A">
      <w:pPr>
        <w:spacing w:line="360" w:lineRule="auto"/>
        <w:ind w:firstLineChars="200" w:firstLine="480"/>
        <w:rPr>
          <w:sz w:val="24"/>
        </w:rPr>
      </w:pPr>
      <w:r>
        <w:rPr>
          <w:rFonts w:ascii="宋体" w:hAnsi="宋体" w:hint="eastAsia"/>
          <w:sz w:val="24"/>
        </w:rPr>
        <w:t>（五）违约行为虽已发生，但本托管协议能够继续履行的，在最大限度地保护基</w:t>
      </w:r>
      <w:r>
        <w:rPr>
          <w:rFonts w:hint="eastAsia"/>
          <w:sz w:val="24"/>
        </w:rPr>
        <w:t>金份额持有人利益的前提下，基金管理人和基金托管人应当继续履行本协议。</w:t>
      </w:r>
    </w:p>
    <w:p w:rsidR="00A674F9" w:rsidRDefault="00CD789A">
      <w:pPr>
        <w:spacing w:line="360" w:lineRule="auto"/>
        <w:ind w:firstLineChars="200" w:firstLine="480"/>
        <w:rPr>
          <w:sz w:val="24"/>
        </w:rPr>
      </w:pPr>
      <w:r>
        <w:rPr>
          <w:rFonts w:hint="eastAsia"/>
          <w:sz w:val="24"/>
        </w:rPr>
        <w:t>（六）本协议所指损失均为直接损失</w:t>
      </w:r>
    </w:p>
    <w:p w:rsidR="00A674F9" w:rsidRDefault="00CD789A">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77" w:name="_Toc123626184"/>
      <w:bookmarkStart w:id="178" w:name="_Toc125361090"/>
      <w:bookmarkStart w:id="179" w:name="_Toc140002353"/>
      <w:bookmarkStart w:id="180" w:name="_Toc124749240"/>
      <w:bookmarkStart w:id="181" w:name="_Toc124749953"/>
      <w:r>
        <w:rPr>
          <w:rFonts w:ascii="宋体" w:hAnsi="宋体" w:cs="Arial" w:hint="eastAsia"/>
          <w:sz w:val="30"/>
        </w:rPr>
        <w:t>争议解决方式</w:t>
      </w:r>
      <w:bookmarkEnd w:id="177"/>
      <w:bookmarkEnd w:id="178"/>
      <w:bookmarkEnd w:id="179"/>
      <w:bookmarkEnd w:id="180"/>
      <w:bookmarkEnd w:id="181"/>
    </w:p>
    <w:p w:rsidR="00A674F9" w:rsidRDefault="00CD789A">
      <w:pPr>
        <w:spacing w:line="360" w:lineRule="auto"/>
        <w:ind w:firstLineChars="200" w:firstLine="480"/>
        <w:rPr>
          <w:rFonts w:ascii="宋体" w:hAnsi="宋体"/>
          <w:sz w:val="24"/>
          <w:szCs w:val="21"/>
        </w:rPr>
      </w:pPr>
      <w:r>
        <w:rPr>
          <w:rFonts w:ascii="宋体" w:hAnsi="宋体" w:hint="eastAsia"/>
          <w:sz w:val="24"/>
          <w:szCs w:val="21"/>
        </w:rPr>
        <w:lastRenderedPageBreak/>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律师费用由败诉方承担。</w:t>
      </w:r>
    </w:p>
    <w:p w:rsidR="00A674F9" w:rsidRDefault="00CD789A">
      <w:pPr>
        <w:spacing w:line="360" w:lineRule="auto"/>
        <w:ind w:firstLineChars="200" w:firstLine="480"/>
        <w:rPr>
          <w:rFonts w:ascii="宋体" w:hAnsi="宋体"/>
          <w:sz w:val="24"/>
          <w:szCs w:val="21"/>
        </w:rPr>
      </w:pPr>
      <w:r>
        <w:rPr>
          <w:rFonts w:ascii="宋体" w:hAnsi="宋体" w:hint="eastAsia"/>
          <w:sz w:val="24"/>
          <w:szCs w:val="21"/>
        </w:rPr>
        <w:t>争议处理期间，相关各方当事人应恪守基金管理人和基金托管人职责，继续忠实、勤勉、尽责地履行《基金合同》和托管协议规定的义务，维护基金份额持有人的合法权益。</w:t>
      </w:r>
    </w:p>
    <w:p w:rsidR="00A674F9" w:rsidRDefault="00CD789A">
      <w:pPr>
        <w:spacing w:line="360" w:lineRule="auto"/>
        <w:ind w:firstLineChars="200" w:firstLine="480"/>
        <w:rPr>
          <w:rFonts w:ascii="宋体" w:hAnsi="宋体"/>
          <w:sz w:val="24"/>
          <w:szCs w:val="21"/>
        </w:rPr>
      </w:pPr>
      <w:r>
        <w:rPr>
          <w:rFonts w:ascii="宋体" w:hAnsi="宋体" w:hint="eastAsia"/>
          <w:sz w:val="24"/>
          <w:szCs w:val="21"/>
        </w:rPr>
        <w:t>本协议受中国法律管辖。</w:t>
      </w:r>
    </w:p>
    <w:p w:rsidR="00A674F9" w:rsidRDefault="00CD789A">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82" w:name="_Toc140002354"/>
      <w:bookmarkStart w:id="183" w:name="_Toc124749241"/>
      <w:bookmarkStart w:id="184" w:name="_Toc123626185"/>
      <w:bookmarkStart w:id="185" w:name="_Toc125361091"/>
      <w:bookmarkStart w:id="186" w:name="_Toc124749954"/>
      <w:r>
        <w:rPr>
          <w:rFonts w:ascii="宋体" w:hAnsi="宋体" w:cs="Arial" w:hint="eastAsia"/>
          <w:sz w:val="30"/>
        </w:rPr>
        <w:t>基金托管协议的效力</w:t>
      </w:r>
      <w:bookmarkEnd w:id="182"/>
      <w:bookmarkEnd w:id="183"/>
      <w:bookmarkEnd w:id="184"/>
      <w:bookmarkEnd w:id="185"/>
      <w:bookmarkEnd w:id="186"/>
    </w:p>
    <w:p w:rsidR="00A674F9" w:rsidRDefault="00CD789A">
      <w:pPr>
        <w:spacing w:line="360" w:lineRule="auto"/>
        <w:ind w:firstLineChars="200" w:firstLine="480"/>
        <w:rPr>
          <w:rFonts w:ascii="宋体" w:hAnsi="宋体"/>
          <w:sz w:val="24"/>
        </w:rPr>
      </w:pPr>
      <w:r>
        <w:rPr>
          <w:rFonts w:ascii="宋体" w:hAnsi="宋体" w:hint="eastAsia"/>
          <w:sz w:val="24"/>
        </w:rPr>
        <w:t>（一）基金管理人在向中国证监会申请发售基金份额时提交的本基金托管协</w:t>
      </w:r>
      <w:r>
        <w:rPr>
          <w:rFonts w:ascii="宋体" w:hAnsi="宋体" w:hint="eastAsia"/>
          <w:sz w:val="24"/>
        </w:rPr>
        <w:t>议草案，该等草案系经托管协议当事人双方盖章以及双方法定代表人或授权代表签字，协议当事人双方可能不时根据中国证监会的意见修改托管协议草案。托管协议以中国证监会注册的文本为正式文本。</w:t>
      </w:r>
    </w:p>
    <w:p w:rsidR="00A674F9" w:rsidRDefault="00CD789A">
      <w:pPr>
        <w:spacing w:line="360" w:lineRule="auto"/>
        <w:ind w:firstLineChars="200" w:firstLine="480"/>
        <w:rPr>
          <w:rFonts w:ascii="宋体" w:hAnsi="宋体"/>
          <w:sz w:val="24"/>
          <w:szCs w:val="30"/>
        </w:rPr>
      </w:pPr>
      <w:r>
        <w:rPr>
          <w:rFonts w:ascii="宋体" w:hAnsi="宋体" w:hint="eastAsia"/>
          <w:sz w:val="24"/>
        </w:rPr>
        <w:t>（二）基金托管协议自《基金合同》成立之日起成立，自《基金合同》生效之日起生效。基金托管协议的有效期自其生效之日起至该基金财产清算结果报中国证监会备案并公告之日止。</w:t>
      </w:r>
    </w:p>
    <w:p w:rsidR="00A674F9" w:rsidRDefault="00CD789A">
      <w:pPr>
        <w:spacing w:line="360" w:lineRule="auto"/>
        <w:ind w:firstLineChars="200" w:firstLine="480"/>
        <w:rPr>
          <w:rFonts w:ascii="宋体" w:hAnsi="宋体"/>
          <w:sz w:val="24"/>
        </w:rPr>
      </w:pPr>
      <w:r>
        <w:rPr>
          <w:rFonts w:ascii="宋体" w:hAnsi="宋体" w:hint="eastAsia"/>
          <w:sz w:val="24"/>
        </w:rPr>
        <w:t>（三）基金托管协议自生效之日对托管协议当事人具有同等的法律约束力。</w:t>
      </w:r>
    </w:p>
    <w:p w:rsidR="00A674F9" w:rsidRDefault="00CD789A">
      <w:pPr>
        <w:spacing w:line="360" w:lineRule="auto"/>
        <w:ind w:firstLineChars="200" w:firstLine="480"/>
        <w:rPr>
          <w:rFonts w:ascii="宋体" w:hAnsi="宋体"/>
          <w:sz w:val="24"/>
        </w:rPr>
      </w:pPr>
      <w:r>
        <w:rPr>
          <w:rFonts w:ascii="宋体" w:hAnsi="宋体" w:hint="eastAsia"/>
          <w:sz w:val="24"/>
        </w:rPr>
        <w:t>（四）基金托管协议正本一式</w:t>
      </w:r>
      <w:r>
        <w:rPr>
          <w:rFonts w:ascii="宋体" w:hAnsi="宋体" w:hint="eastAsia"/>
          <w:sz w:val="24"/>
        </w:rPr>
        <w:t>2</w:t>
      </w:r>
      <w:r>
        <w:rPr>
          <w:rFonts w:ascii="宋体" w:hAnsi="宋体" w:hint="eastAsia"/>
          <w:sz w:val="24"/>
        </w:rPr>
        <w:t>份，基金管理人和基金托管人分别持有</w:t>
      </w:r>
      <w:r>
        <w:rPr>
          <w:rFonts w:ascii="宋体" w:hAnsi="宋体" w:hint="eastAsia"/>
          <w:sz w:val="24"/>
        </w:rPr>
        <w:t>1</w:t>
      </w:r>
      <w:r>
        <w:rPr>
          <w:rFonts w:ascii="宋体" w:hAnsi="宋体" w:hint="eastAsia"/>
          <w:sz w:val="24"/>
        </w:rPr>
        <w:t>份，每份具有同等的法律效力。</w:t>
      </w:r>
    </w:p>
    <w:p w:rsidR="00A674F9" w:rsidRDefault="00CD789A">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87" w:name="_Toc124749242"/>
      <w:bookmarkStart w:id="188" w:name="_Toc123626186"/>
      <w:bookmarkStart w:id="189" w:name="_Toc125361092"/>
      <w:bookmarkStart w:id="190" w:name="_Toc140002355"/>
      <w:bookmarkStart w:id="191" w:name="_Toc124749955"/>
      <w:r>
        <w:rPr>
          <w:rFonts w:ascii="宋体" w:hAnsi="宋体" w:cs="Arial" w:hint="eastAsia"/>
          <w:sz w:val="30"/>
        </w:rPr>
        <w:t>基金托管协议的签订</w:t>
      </w:r>
      <w:bookmarkEnd w:id="187"/>
      <w:bookmarkEnd w:id="188"/>
      <w:bookmarkEnd w:id="189"/>
      <w:bookmarkEnd w:id="190"/>
      <w:bookmarkEnd w:id="191"/>
    </w:p>
    <w:p w:rsidR="00A674F9" w:rsidRDefault="00CD789A">
      <w:pPr>
        <w:spacing w:line="360" w:lineRule="auto"/>
        <w:ind w:firstLineChars="200" w:firstLine="480"/>
        <w:rPr>
          <w:rFonts w:ascii="宋体" w:hAnsi="宋体"/>
          <w:sz w:val="24"/>
        </w:rPr>
        <w:sectPr w:rsidR="00A674F9">
          <w:headerReference w:type="default" r:id="rId11"/>
          <w:footerReference w:type="default" r:id="rId12"/>
          <w:pgSz w:w="11906" w:h="16838"/>
          <w:pgMar w:top="1440" w:right="1800" w:bottom="1440" w:left="1800" w:header="851" w:footer="992" w:gutter="0"/>
          <w:pgNumType w:start="1"/>
          <w:cols w:space="720"/>
          <w:docGrid w:type="lines" w:linePitch="312"/>
        </w:sectPr>
      </w:pPr>
      <w:r>
        <w:rPr>
          <w:rFonts w:ascii="宋体" w:hAnsi="宋体" w:hint="eastAsia"/>
          <w:sz w:val="24"/>
        </w:rPr>
        <w:t>本托管协议经基金管理人和基金托管人认可后，由该双方当事人在基金托管协议上盖章，并由各自的法定代表人或授权代表签字，并注明基金托管协议的签订地点和签订日期。</w:t>
      </w:r>
    </w:p>
    <w:p w:rsidR="00A674F9" w:rsidRDefault="00CD789A">
      <w:pPr>
        <w:spacing w:line="360" w:lineRule="auto"/>
        <w:ind w:firstLineChars="200" w:firstLine="480"/>
        <w:rPr>
          <w:rFonts w:ascii="宋体" w:hAnsi="宋体"/>
          <w:sz w:val="24"/>
          <w:szCs w:val="21"/>
        </w:rPr>
      </w:pPr>
      <w:r>
        <w:rPr>
          <w:rFonts w:ascii="宋体" w:hAnsi="宋体" w:hint="eastAsia"/>
          <w:sz w:val="24"/>
          <w:szCs w:val="21"/>
        </w:rPr>
        <w:lastRenderedPageBreak/>
        <w:t>本页无正文，为《托管协议》签字页。</w:t>
      </w:r>
    </w:p>
    <w:p w:rsidR="00A674F9" w:rsidRDefault="00A674F9">
      <w:pPr>
        <w:spacing w:after="120" w:line="360" w:lineRule="auto"/>
        <w:ind w:firstLineChars="200" w:firstLine="482"/>
        <w:rPr>
          <w:rFonts w:ascii="宋体" w:hAnsi="宋体"/>
          <w:b/>
          <w:bCs/>
          <w:sz w:val="24"/>
          <w:szCs w:val="21"/>
        </w:rPr>
      </w:pPr>
      <w:bookmarkStart w:id="192" w:name="_Toc523830014"/>
      <w:bookmarkStart w:id="193" w:name="_Toc48703935"/>
      <w:bookmarkStart w:id="194" w:name="_Toc22454484"/>
    </w:p>
    <w:p w:rsidR="00A674F9" w:rsidRDefault="00CD789A">
      <w:pPr>
        <w:spacing w:after="120" w:line="360" w:lineRule="auto"/>
        <w:ind w:firstLineChars="200" w:firstLine="482"/>
        <w:rPr>
          <w:rFonts w:ascii="宋体" w:hAnsi="宋体"/>
          <w:b/>
          <w:bCs/>
          <w:sz w:val="24"/>
          <w:szCs w:val="21"/>
        </w:rPr>
      </w:pPr>
      <w:r>
        <w:rPr>
          <w:rFonts w:ascii="宋体" w:hAnsi="宋体" w:hint="eastAsia"/>
          <w:b/>
          <w:bCs/>
          <w:sz w:val="24"/>
          <w:szCs w:val="21"/>
        </w:rPr>
        <w:t>《托管协议》当事人盖章及法定代表人或授权代表签字、签订地、签订日</w:t>
      </w:r>
      <w:bookmarkEnd w:id="192"/>
      <w:bookmarkEnd w:id="193"/>
      <w:bookmarkEnd w:id="194"/>
    </w:p>
    <w:p w:rsidR="00A674F9" w:rsidRDefault="00A674F9">
      <w:pPr>
        <w:spacing w:after="120" w:line="360" w:lineRule="auto"/>
        <w:ind w:firstLineChars="200" w:firstLine="480"/>
        <w:rPr>
          <w:rFonts w:ascii="宋体" w:hAnsi="宋体"/>
          <w:sz w:val="24"/>
        </w:rPr>
      </w:pPr>
    </w:p>
    <w:p w:rsidR="00A674F9" w:rsidRDefault="00A674F9">
      <w:pPr>
        <w:spacing w:after="120" w:line="360" w:lineRule="auto"/>
        <w:ind w:firstLineChars="200" w:firstLine="480"/>
        <w:rPr>
          <w:rFonts w:ascii="宋体" w:hAnsi="宋体"/>
          <w:sz w:val="24"/>
        </w:rPr>
      </w:pPr>
    </w:p>
    <w:p w:rsidR="00A674F9" w:rsidRDefault="00CD789A">
      <w:pPr>
        <w:spacing w:after="120" w:line="360" w:lineRule="auto"/>
        <w:ind w:firstLineChars="200" w:firstLine="482"/>
        <w:rPr>
          <w:rFonts w:ascii="宋体" w:hAnsi="宋体"/>
          <w:b/>
          <w:sz w:val="24"/>
          <w:szCs w:val="21"/>
        </w:rPr>
      </w:pPr>
      <w:r>
        <w:rPr>
          <w:rFonts w:ascii="宋体" w:hAnsi="宋体" w:hint="eastAsia"/>
          <w:b/>
          <w:sz w:val="24"/>
          <w:szCs w:val="21"/>
        </w:rPr>
        <w:t>基金管理人：财通基金管理有限公司（章）</w:t>
      </w:r>
    </w:p>
    <w:p w:rsidR="00A674F9" w:rsidRDefault="00A674F9">
      <w:pPr>
        <w:spacing w:after="120" w:line="360" w:lineRule="auto"/>
        <w:ind w:firstLineChars="200" w:firstLine="482"/>
        <w:rPr>
          <w:rFonts w:ascii="宋体" w:hAnsi="宋体"/>
          <w:b/>
          <w:sz w:val="24"/>
          <w:szCs w:val="21"/>
        </w:rPr>
      </w:pPr>
    </w:p>
    <w:p w:rsidR="00A674F9" w:rsidRDefault="00CD789A">
      <w:pPr>
        <w:spacing w:after="120" w:line="360" w:lineRule="auto"/>
        <w:ind w:firstLineChars="200" w:firstLine="482"/>
        <w:rPr>
          <w:rFonts w:ascii="宋体" w:hAnsi="宋体"/>
          <w:b/>
          <w:sz w:val="24"/>
          <w:szCs w:val="21"/>
        </w:rPr>
      </w:pPr>
      <w:r>
        <w:rPr>
          <w:rFonts w:ascii="宋体" w:hAnsi="宋体" w:hint="eastAsia"/>
          <w:b/>
          <w:sz w:val="24"/>
          <w:szCs w:val="21"/>
        </w:rPr>
        <w:t>法定代表人或授权代表：</w:t>
      </w:r>
      <w:r>
        <w:rPr>
          <w:rFonts w:ascii="宋体" w:hAnsi="宋体" w:hint="eastAsia"/>
          <w:b/>
          <w:sz w:val="24"/>
          <w:szCs w:val="21"/>
        </w:rPr>
        <w:t xml:space="preserve">                   </w:t>
      </w:r>
      <w:r>
        <w:rPr>
          <w:rFonts w:ascii="宋体" w:hAnsi="宋体" w:hint="eastAsia"/>
          <w:b/>
          <w:sz w:val="24"/>
          <w:szCs w:val="21"/>
        </w:rPr>
        <w:t>（签字）</w:t>
      </w:r>
    </w:p>
    <w:p w:rsidR="00A674F9" w:rsidRDefault="00A674F9">
      <w:pPr>
        <w:spacing w:after="120" w:line="360" w:lineRule="auto"/>
        <w:ind w:firstLineChars="200" w:firstLine="482"/>
        <w:rPr>
          <w:rFonts w:ascii="宋体" w:hAnsi="宋体"/>
          <w:b/>
          <w:sz w:val="24"/>
          <w:szCs w:val="21"/>
        </w:rPr>
      </w:pPr>
    </w:p>
    <w:p w:rsidR="00A674F9" w:rsidRDefault="00A674F9">
      <w:pPr>
        <w:spacing w:after="120" w:line="360" w:lineRule="auto"/>
        <w:ind w:firstLineChars="200" w:firstLine="482"/>
        <w:rPr>
          <w:rFonts w:ascii="宋体" w:hAnsi="宋体"/>
          <w:b/>
          <w:sz w:val="24"/>
          <w:szCs w:val="21"/>
        </w:rPr>
      </w:pPr>
    </w:p>
    <w:p w:rsidR="00A674F9" w:rsidRDefault="00A674F9">
      <w:pPr>
        <w:spacing w:after="120" w:line="360" w:lineRule="auto"/>
        <w:ind w:firstLineChars="200" w:firstLine="482"/>
        <w:rPr>
          <w:rFonts w:ascii="宋体" w:hAnsi="宋体"/>
          <w:b/>
          <w:sz w:val="24"/>
          <w:szCs w:val="21"/>
        </w:rPr>
      </w:pPr>
    </w:p>
    <w:p w:rsidR="00A674F9" w:rsidRDefault="00A674F9">
      <w:pPr>
        <w:spacing w:after="120" w:line="360" w:lineRule="auto"/>
        <w:ind w:firstLineChars="200" w:firstLine="482"/>
        <w:rPr>
          <w:rFonts w:ascii="宋体" w:hAnsi="宋体"/>
          <w:b/>
          <w:sz w:val="24"/>
          <w:szCs w:val="21"/>
        </w:rPr>
      </w:pPr>
    </w:p>
    <w:p w:rsidR="00A674F9" w:rsidRDefault="00CD789A">
      <w:pPr>
        <w:spacing w:after="120" w:line="360" w:lineRule="auto"/>
        <w:ind w:firstLineChars="200" w:firstLine="482"/>
        <w:rPr>
          <w:rFonts w:ascii="宋体" w:hAnsi="宋体"/>
          <w:b/>
          <w:sz w:val="24"/>
          <w:szCs w:val="21"/>
        </w:rPr>
      </w:pPr>
      <w:r>
        <w:rPr>
          <w:rFonts w:ascii="宋体" w:hAnsi="宋体" w:hint="eastAsia"/>
          <w:b/>
          <w:sz w:val="24"/>
          <w:szCs w:val="21"/>
        </w:rPr>
        <w:t>基金托管人：中国工商银行股份有限公司（章）</w:t>
      </w:r>
    </w:p>
    <w:p w:rsidR="00A674F9" w:rsidRDefault="00A674F9">
      <w:pPr>
        <w:spacing w:after="120" w:line="360" w:lineRule="auto"/>
        <w:ind w:firstLineChars="200" w:firstLine="482"/>
        <w:rPr>
          <w:rFonts w:ascii="宋体" w:hAnsi="宋体"/>
          <w:b/>
          <w:sz w:val="24"/>
          <w:szCs w:val="21"/>
        </w:rPr>
      </w:pPr>
    </w:p>
    <w:p w:rsidR="00A674F9" w:rsidRDefault="00A674F9">
      <w:pPr>
        <w:spacing w:after="120" w:line="360" w:lineRule="auto"/>
        <w:ind w:firstLineChars="200" w:firstLine="482"/>
        <w:rPr>
          <w:rFonts w:ascii="宋体" w:hAnsi="宋体"/>
          <w:b/>
          <w:sz w:val="24"/>
          <w:szCs w:val="21"/>
        </w:rPr>
      </w:pPr>
    </w:p>
    <w:p w:rsidR="00A674F9" w:rsidRDefault="00CD789A">
      <w:pPr>
        <w:spacing w:after="120" w:line="360" w:lineRule="auto"/>
        <w:ind w:firstLineChars="200" w:firstLine="482"/>
        <w:rPr>
          <w:rFonts w:ascii="宋体" w:hAnsi="宋体"/>
          <w:b/>
          <w:sz w:val="24"/>
          <w:szCs w:val="21"/>
        </w:rPr>
      </w:pPr>
      <w:r>
        <w:rPr>
          <w:rFonts w:ascii="宋体" w:hAnsi="宋体" w:hint="eastAsia"/>
          <w:b/>
          <w:sz w:val="24"/>
          <w:szCs w:val="21"/>
        </w:rPr>
        <w:t>法定代表人或授权代表：</w:t>
      </w:r>
      <w:r>
        <w:rPr>
          <w:rFonts w:ascii="宋体" w:hAnsi="宋体" w:hint="eastAsia"/>
          <w:b/>
          <w:sz w:val="24"/>
          <w:szCs w:val="21"/>
        </w:rPr>
        <w:t xml:space="preserve">                   </w:t>
      </w:r>
      <w:r>
        <w:rPr>
          <w:rFonts w:ascii="宋体" w:hAnsi="宋体" w:hint="eastAsia"/>
          <w:b/>
          <w:sz w:val="24"/>
          <w:szCs w:val="21"/>
        </w:rPr>
        <w:t>（签字）</w:t>
      </w:r>
    </w:p>
    <w:p w:rsidR="00A674F9" w:rsidRDefault="00A674F9">
      <w:pPr>
        <w:spacing w:after="120" w:line="360" w:lineRule="auto"/>
        <w:ind w:firstLineChars="200" w:firstLine="482"/>
        <w:rPr>
          <w:rFonts w:ascii="宋体" w:hAnsi="宋体"/>
          <w:b/>
          <w:sz w:val="24"/>
          <w:szCs w:val="21"/>
        </w:rPr>
      </w:pPr>
    </w:p>
    <w:p w:rsidR="00A674F9" w:rsidRDefault="00A674F9">
      <w:pPr>
        <w:spacing w:after="120" w:line="360" w:lineRule="auto"/>
        <w:ind w:firstLineChars="200" w:firstLine="482"/>
        <w:rPr>
          <w:rFonts w:ascii="宋体" w:hAnsi="宋体"/>
          <w:b/>
          <w:sz w:val="24"/>
          <w:szCs w:val="21"/>
        </w:rPr>
      </w:pPr>
    </w:p>
    <w:p w:rsidR="00A674F9" w:rsidRDefault="00A674F9">
      <w:pPr>
        <w:spacing w:after="120" w:line="360" w:lineRule="auto"/>
        <w:ind w:firstLineChars="200" w:firstLine="482"/>
        <w:rPr>
          <w:rFonts w:ascii="宋体" w:hAnsi="宋体"/>
          <w:b/>
          <w:sz w:val="24"/>
          <w:szCs w:val="21"/>
        </w:rPr>
      </w:pPr>
    </w:p>
    <w:p w:rsidR="00A674F9" w:rsidRDefault="00A674F9">
      <w:pPr>
        <w:spacing w:after="120" w:line="360" w:lineRule="auto"/>
        <w:ind w:firstLineChars="200" w:firstLine="482"/>
        <w:rPr>
          <w:rFonts w:ascii="宋体" w:hAnsi="宋体"/>
          <w:b/>
          <w:sz w:val="24"/>
          <w:szCs w:val="21"/>
        </w:rPr>
      </w:pPr>
    </w:p>
    <w:p w:rsidR="00A674F9" w:rsidRDefault="00A674F9">
      <w:pPr>
        <w:spacing w:after="120" w:line="360" w:lineRule="auto"/>
        <w:ind w:firstLineChars="200" w:firstLine="482"/>
        <w:rPr>
          <w:rFonts w:ascii="宋体" w:hAnsi="宋体"/>
          <w:b/>
          <w:sz w:val="24"/>
          <w:szCs w:val="21"/>
        </w:rPr>
      </w:pPr>
    </w:p>
    <w:p w:rsidR="00A674F9" w:rsidRDefault="00CD789A">
      <w:pPr>
        <w:spacing w:after="120" w:line="360" w:lineRule="auto"/>
        <w:ind w:firstLineChars="200" w:firstLine="482"/>
        <w:rPr>
          <w:rFonts w:ascii="宋体" w:hAnsi="宋体"/>
          <w:b/>
          <w:sz w:val="24"/>
          <w:szCs w:val="21"/>
        </w:rPr>
      </w:pPr>
      <w:r>
        <w:rPr>
          <w:rFonts w:ascii="宋体" w:hAnsi="宋体" w:hint="eastAsia"/>
          <w:b/>
          <w:sz w:val="24"/>
          <w:szCs w:val="21"/>
        </w:rPr>
        <w:t>签订地点：中国北京</w:t>
      </w:r>
    </w:p>
    <w:p w:rsidR="00A674F9" w:rsidRDefault="00CD789A">
      <w:pPr>
        <w:spacing w:after="120" w:line="360" w:lineRule="auto"/>
        <w:ind w:firstLineChars="200" w:firstLine="482"/>
      </w:pPr>
      <w:r>
        <w:rPr>
          <w:rFonts w:ascii="宋体" w:hAnsi="宋体" w:hint="eastAsia"/>
          <w:b/>
          <w:sz w:val="24"/>
          <w:szCs w:val="21"/>
        </w:rPr>
        <w:t>签</w:t>
      </w:r>
      <w:r>
        <w:rPr>
          <w:rFonts w:ascii="宋体" w:hAnsi="宋体" w:hint="eastAsia"/>
          <w:b/>
          <w:sz w:val="24"/>
          <w:szCs w:val="21"/>
        </w:rPr>
        <w:t xml:space="preserve"> </w:t>
      </w:r>
      <w:r>
        <w:rPr>
          <w:rFonts w:ascii="宋体" w:hAnsi="宋体" w:hint="eastAsia"/>
          <w:b/>
          <w:sz w:val="24"/>
          <w:szCs w:val="21"/>
        </w:rPr>
        <w:t>订</w:t>
      </w:r>
      <w:r>
        <w:rPr>
          <w:rFonts w:ascii="宋体" w:hAnsi="宋体" w:hint="eastAsia"/>
          <w:b/>
          <w:sz w:val="24"/>
          <w:szCs w:val="21"/>
        </w:rPr>
        <w:t xml:space="preserve"> </w:t>
      </w:r>
      <w:r>
        <w:rPr>
          <w:rFonts w:ascii="宋体" w:hAnsi="宋体" w:hint="eastAsia"/>
          <w:b/>
          <w:sz w:val="24"/>
          <w:szCs w:val="21"/>
        </w:rPr>
        <w:t>日：</w:t>
      </w:r>
      <w:r>
        <w:rPr>
          <w:rFonts w:ascii="宋体" w:hAnsi="宋体" w:hint="eastAsia"/>
          <w:b/>
          <w:sz w:val="24"/>
          <w:szCs w:val="21"/>
        </w:rPr>
        <w:t xml:space="preserve">      </w:t>
      </w:r>
      <w:r>
        <w:rPr>
          <w:rFonts w:ascii="宋体" w:hAnsi="宋体" w:hint="eastAsia"/>
          <w:b/>
          <w:sz w:val="24"/>
          <w:szCs w:val="21"/>
        </w:rPr>
        <w:t>年</w:t>
      </w:r>
      <w:r>
        <w:rPr>
          <w:rFonts w:ascii="宋体" w:hAnsi="宋体" w:hint="eastAsia"/>
          <w:b/>
          <w:sz w:val="24"/>
          <w:szCs w:val="21"/>
        </w:rPr>
        <w:t xml:space="preserve">  </w:t>
      </w:r>
      <w:r>
        <w:rPr>
          <w:rFonts w:ascii="宋体" w:hAnsi="宋体" w:hint="eastAsia"/>
          <w:b/>
          <w:sz w:val="24"/>
          <w:szCs w:val="21"/>
        </w:rPr>
        <w:t>月</w:t>
      </w:r>
      <w:r>
        <w:rPr>
          <w:rFonts w:ascii="宋体" w:hAnsi="宋体" w:hint="eastAsia"/>
          <w:b/>
          <w:sz w:val="24"/>
          <w:szCs w:val="21"/>
        </w:rPr>
        <w:t xml:space="preserve">  </w:t>
      </w:r>
      <w:r>
        <w:rPr>
          <w:rFonts w:ascii="宋体" w:hAnsi="宋体" w:hint="eastAsia"/>
          <w:b/>
          <w:sz w:val="24"/>
          <w:szCs w:val="21"/>
        </w:rPr>
        <w:t>日</w:t>
      </w:r>
    </w:p>
    <w:p w:rsidR="00A674F9" w:rsidRDefault="00A674F9">
      <w:pPr>
        <w:spacing w:after="120" w:line="360" w:lineRule="auto"/>
        <w:ind w:firstLineChars="200" w:firstLine="420"/>
      </w:pPr>
    </w:p>
    <w:sectPr w:rsidR="00A674F9" w:rsidSect="00A674F9">
      <w:footerReference w:type="default" r:id="rId13"/>
      <w:pgSz w:w="11906" w:h="16838"/>
      <w:pgMar w:top="1440" w:right="1797" w:bottom="1440" w:left="1797"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89A" w:rsidRDefault="00CD789A" w:rsidP="00A674F9">
      <w:r>
        <w:separator/>
      </w:r>
    </w:p>
  </w:endnote>
  <w:endnote w:type="continuationSeparator" w:id="0">
    <w:p w:rsidR="00CD789A" w:rsidRDefault="00CD789A" w:rsidP="00A674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楷体_GB2312">
    <w:altName w:val="楷体"/>
    <w:charset w:val="86"/>
    <w:family w:val="modern"/>
    <w:pitch w:val="default"/>
    <w:sig w:usb0="00000000" w:usb1="0000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4F9" w:rsidRDefault="00A674F9">
    <w:pPr>
      <w:pStyle w:val="a8"/>
      <w:framePr w:wrap="around" w:vAnchor="text" w:hAnchor="margin" w:xAlign="right" w:y="1"/>
      <w:rPr>
        <w:rStyle w:val="ab"/>
      </w:rPr>
    </w:pPr>
    <w:r>
      <w:fldChar w:fldCharType="begin"/>
    </w:r>
    <w:r w:rsidR="00CD789A">
      <w:rPr>
        <w:rStyle w:val="ab"/>
      </w:rPr>
      <w:instrText xml:space="preserve">PAGE  </w:instrText>
    </w:r>
    <w:r>
      <w:fldChar w:fldCharType="end"/>
    </w:r>
  </w:p>
  <w:p w:rsidR="00A674F9" w:rsidRDefault="00A674F9">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4F9" w:rsidRDefault="00A674F9">
    <w:pPr>
      <w:pStyle w:val="a8"/>
      <w:jc w:val="center"/>
    </w:pPr>
  </w:p>
  <w:p w:rsidR="00A674F9" w:rsidRDefault="00A674F9">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29583"/>
      <w:docPartObj>
        <w:docPartGallery w:val="AutoText"/>
      </w:docPartObj>
    </w:sdtPr>
    <w:sdtContent>
      <w:p w:rsidR="00A674F9" w:rsidRDefault="00A674F9">
        <w:pPr>
          <w:pStyle w:val="a8"/>
          <w:jc w:val="center"/>
        </w:pPr>
        <w:r>
          <w:fldChar w:fldCharType="begin"/>
        </w:r>
        <w:r w:rsidR="00CD789A">
          <w:instrText xml:space="preserve"> PAGE   \* MERGEFORMAT </w:instrText>
        </w:r>
        <w:r>
          <w:fldChar w:fldCharType="separate"/>
        </w:r>
        <w:r w:rsidR="00CA205C" w:rsidRPr="00CA205C">
          <w:rPr>
            <w:noProof/>
            <w:lang w:val="zh-CN"/>
          </w:rPr>
          <w:t>34</w:t>
        </w:r>
        <w:r>
          <w:fldChar w:fldCharType="end"/>
        </w:r>
      </w:p>
    </w:sdtContent>
  </w:sdt>
  <w:p w:rsidR="00A674F9" w:rsidRDefault="00A674F9">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30233"/>
      <w:docPartObj>
        <w:docPartGallery w:val="AutoText"/>
      </w:docPartObj>
    </w:sdtPr>
    <w:sdtContent>
      <w:p w:rsidR="00A674F9" w:rsidRDefault="00A674F9">
        <w:pPr>
          <w:pStyle w:val="a8"/>
          <w:jc w:val="center"/>
        </w:pPr>
        <w:r>
          <w:fldChar w:fldCharType="begin"/>
        </w:r>
        <w:r w:rsidR="00CD789A">
          <w:instrText xml:space="preserve"> PAGE   \* MERGEFORMAT </w:instrText>
        </w:r>
        <w:r>
          <w:fldChar w:fldCharType="separate"/>
        </w:r>
        <w:r w:rsidR="00CA205C" w:rsidRPr="00CA205C">
          <w:rPr>
            <w:noProof/>
            <w:lang w:val="zh-CN"/>
          </w:rPr>
          <w:t>1</w:t>
        </w:r>
        <w:r>
          <w:fldChar w:fldCharType="end"/>
        </w:r>
      </w:p>
    </w:sdtContent>
  </w:sdt>
  <w:p w:rsidR="00A674F9" w:rsidRDefault="00A674F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89A" w:rsidRDefault="00CD789A" w:rsidP="00A674F9">
      <w:r>
        <w:separator/>
      </w:r>
    </w:p>
  </w:footnote>
  <w:footnote w:type="continuationSeparator" w:id="0">
    <w:p w:rsidR="00CD789A" w:rsidRDefault="00CD789A" w:rsidP="00A674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4F9" w:rsidRDefault="00CD789A">
    <w:pPr>
      <w:pStyle w:val="a9"/>
    </w:pPr>
    <w:r>
      <w:rPr>
        <w:rFonts w:hint="eastAsia"/>
        <w:sz w:val="21"/>
        <w:szCs w:val="21"/>
      </w:rPr>
      <w:t>财通成长优选混合型证券投资基金</w:t>
    </w:r>
    <w:r>
      <w:rPr>
        <w:rFonts w:hint="eastAsia"/>
        <w:sz w:val="21"/>
        <w:szCs w:val="21"/>
      </w:rPr>
      <w:t xml:space="preserve">                                   -</w:t>
    </w:r>
    <w:r>
      <w:rPr>
        <w:rFonts w:hint="eastAsia"/>
        <w:sz w:val="21"/>
        <w:szCs w:val="21"/>
      </w:rPr>
      <w:t>托管协议</w:t>
    </w:r>
    <w:r>
      <w:rPr>
        <w:rFonts w:hint="eastAsia"/>
        <w:sz w:val="21"/>
        <w:szCs w:val="21"/>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952C2D"/>
    <w:multiLevelType w:val="multilevel"/>
    <w:tmpl w:val="5F952C2D"/>
    <w:lvl w:ilvl="0">
      <w:start w:val="1"/>
      <w:numFmt w:val="chineseCountingThousand"/>
      <w:suff w:val="nothing"/>
      <w:lvlText w:val="%1、"/>
      <w:lvlJc w:val="center"/>
      <w:pPr>
        <w:ind w:left="0" w:firstLine="288"/>
      </w:pPr>
      <w:rPr>
        <w:rFonts w:hint="eastAsia"/>
        <w:sz w:val="30"/>
        <w:szCs w:val="30"/>
      </w:rPr>
    </w:lvl>
    <w:lvl w:ilvl="1">
      <w:start w:val="1"/>
      <w:numFmt w:val="japaneseCounting"/>
      <w:lvlText w:val="（%2）"/>
      <w:lvlJc w:val="left"/>
      <w:pPr>
        <w:tabs>
          <w:tab w:val="left" w:pos="720"/>
        </w:tabs>
        <w:ind w:left="720" w:hanging="720"/>
      </w:pPr>
      <w:rPr>
        <w:rFonts w:hint="default"/>
      </w:rPr>
    </w:lvl>
    <w:lvl w:ilvl="2">
      <w:start w:val="1"/>
      <w:numFmt w:val="decimal"/>
      <w:lvlText w:val="%3."/>
      <w:lvlJc w:val="left"/>
      <w:pPr>
        <w:tabs>
          <w:tab w:val="left" w:pos="360"/>
        </w:tabs>
        <w:ind w:left="0" w:firstLine="0"/>
      </w:pPr>
      <w:rPr>
        <w:rFonts w:hint="eastAsia"/>
      </w:rPr>
    </w:lvl>
    <w:lvl w:ilvl="3">
      <w:start w:val="1"/>
      <w:numFmt w:val="decimal"/>
      <w:lvlText w:val="（%4）"/>
      <w:lvlJc w:val="left"/>
      <w:pPr>
        <w:tabs>
          <w:tab w:val="left" w:pos="720"/>
        </w:tabs>
        <w:ind w:left="0" w:firstLine="0"/>
      </w:pPr>
      <w:rPr>
        <w:rFonts w:ascii="Times New Roman" w:eastAsia="宋体" w:hAnsi="Times New Roman" w:hint="default"/>
        <w:sz w:val="21"/>
      </w:rPr>
    </w:lvl>
    <w:lvl w:ilvl="4">
      <w:start w:val="1"/>
      <w:numFmt w:val="none"/>
      <w:lvlText w:val=""/>
      <w:lvlJc w:val="left"/>
      <w:pPr>
        <w:tabs>
          <w:tab w:val="left" w:pos="360"/>
        </w:tabs>
        <w:ind w:left="0" w:firstLine="0"/>
      </w:pPr>
      <w:rPr>
        <w:rFonts w:hint="eastAsia"/>
        <w:sz w:val="24"/>
      </w:rPr>
    </w:lvl>
    <w:lvl w:ilvl="5">
      <w:start w:val="1"/>
      <w:numFmt w:val="upperLetter"/>
      <w:lvlText w:val="%6."/>
      <w:lvlJc w:val="left"/>
      <w:pPr>
        <w:tabs>
          <w:tab w:val="left" w:pos="927"/>
        </w:tabs>
        <w:ind w:left="0" w:firstLine="567"/>
      </w:pPr>
      <w:rPr>
        <w:rFonts w:hint="eastAsia"/>
        <w:sz w:val="24"/>
      </w:rPr>
    </w:lvl>
    <w:lvl w:ilvl="6">
      <w:start w:val="1"/>
      <w:numFmt w:val="none"/>
      <w:lvlText w:val=""/>
      <w:lvlJc w:val="left"/>
      <w:pPr>
        <w:tabs>
          <w:tab w:val="left" w:pos="3827"/>
        </w:tabs>
        <w:ind w:left="3827" w:hanging="1276"/>
      </w:pPr>
      <w:rPr>
        <w:rFonts w:hint="eastAsia"/>
      </w:rPr>
    </w:lvl>
    <w:lvl w:ilvl="7">
      <w:start w:val="1"/>
      <w:numFmt w:val="none"/>
      <w:lvlText w:val=""/>
      <w:lvlJc w:val="left"/>
      <w:pPr>
        <w:tabs>
          <w:tab w:val="left" w:pos="4394"/>
        </w:tabs>
        <w:ind w:left="4394" w:hanging="1418"/>
      </w:pPr>
      <w:rPr>
        <w:rFonts w:hint="eastAsia"/>
      </w:rPr>
    </w:lvl>
    <w:lvl w:ilvl="8">
      <w:start w:val="1"/>
      <w:numFmt w:val="none"/>
      <w:lvlText w:val=""/>
      <w:lvlJc w:val="left"/>
      <w:pPr>
        <w:tabs>
          <w:tab w:val="left" w:pos="5102"/>
        </w:tabs>
        <w:ind w:left="5102" w:hanging="1700"/>
      </w:pPr>
      <w:rPr>
        <w:rFonts w:hint="eastAsia"/>
      </w:rPr>
    </w:lvl>
  </w:abstractNum>
  <w:abstractNum w:abstractNumId="1">
    <w:nsid w:val="640D1D2A"/>
    <w:multiLevelType w:val="multilevel"/>
    <w:tmpl w:val="640D1D2A"/>
    <w:lvl w:ilvl="0">
      <w:start w:val="5"/>
      <w:numFmt w:val="decimal"/>
      <w:lvlText w:val="%1、"/>
      <w:lvlJc w:val="left"/>
      <w:pPr>
        <w:tabs>
          <w:tab w:val="left" w:pos="840"/>
        </w:tabs>
        <w:ind w:left="840" w:hanging="360"/>
      </w:pPr>
      <w:rPr>
        <w:rFonts w:hint="eastAsia"/>
      </w:rPr>
    </w:lvl>
    <w:lvl w:ilvl="1">
      <w:start w:val="6"/>
      <w:numFmt w:val="japaneseCounting"/>
      <w:lvlText w:val="（%2）"/>
      <w:lvlJc w:val="left"/>
      <w:pPr>
        <w:tabs>
          <w:tab w:val="left" w:pos="1620"/>
        </w:tabs>
        <w:ind w:left="1620" w:hanging="720"/>
      </w:pPr>
      <w:rPr>
        <w:rFonts w:hint="eastAsia"/>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uanTai">
    <w15:presenceInfo w15:providerId="None" w15:userId="YuanTa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166FD"/>
    <w:rsid w:val="00093239"/>
    <w:rsid w:val="000B6AC2"/>
    <w:rsid w:val="000C0080"/>
    <w:rsid w:val="00101FDB"/>
    <w:rsid w:val="0011588A"/>
    <w:rsid w:val="001449BF"/>
    <w:rsid w:val="00151B09"/>
    <w:rsid w:val="001542CC"/>
    <w:rsid w:val="0016417F"/>
    <w:rsid w:val="00172A27"/>
    <w:rsid w:val="00173219"/>
    <w:rsid w:val="00190459"/>
    <w:rsid w:val="001C481B"/>
    <w:rsid w:val="002139EB"/>
    <w:rsid w:val="00265D96"/>
    <w:rsid w:val="00274AA8"/>
    <w:rsid w:val="002825FD"/>
    <w:rsid w:val="002F7917"/>
    <w:rsid w:val="0030048B"/>
    <w:rsid w:val="003643D7"/>
    <w:rsid w:val="003B4C3C"/>
    <w:rsid w:val="004137F0"/>
    <w:rsid w:val="00455275"/>
    <w:rsid w:val="00464A9A"/>
    <w:rsid w:val="004B609E"/>
    <w:rsid w:val="004C499A"/>
    <w:rsid w:val="004E795E"/>
    <w:rsid w:val="004F5AC6"/>
    <w:rsid w:val="005646AF"/>
    <w:rsid w:val="00580CEC"/>
    <w:rsid w:val="005823A9"/>
    <w:rsid w:val="005876EE"/>
    <w:rsid w:val="005A51F6"/>
    <w:rsid w:val="005B3BE7"/>
    <w:rsid w:val="005C56E9"/>
    <w:rsid w:val="00610BC4"/>
    <w:rsid w:val="006441CB"/>
    <w:rsid w:val="006458E7"/>
    <w:rsid w:val="00687C46"/>
    <w:rsid w:val="006E5C6C"/>
    <w:rsid w:val="00723ED4"/>
    <w:rsid w:val="00784A5F"/>
    <w:rsid w:val="007878B0"/>
    <w:rsid w:val="007F3271"/>
    <w:rsid w:val="00813CCF"/>
    <w:rsid w:val="00894D43"/>
    <w:rsid w:val="00897B62"/>
    <w:rsid w:val="008A668A"/>
    <w:rsid w:val="008E38CD"/>
    <w:rsid w:val="00924A20"/>
    <w:rsid w:val="0095269B"/>
    <w:rsid w:val="009775BA"/>
    <w:rsid w:val="009C4EC4"/>
    <w:rsid w:val="009F279D"/>
    <w:rsid w:val="00A0416A"/>
    <w:rsid w:val="00A121AC"/>
    <w:rsid w:val="00A21AF5"/>
    <w:rsid w:val="00A244EA"/>
    <w:rsid w:val="00A674F9"/>
    <w:rsid w:val="00A93C34"/>
    <w:rsid w:val="00AD3BC4"/>
    <w:rsid w:val="00B1651D"/>
    <w:rsid w:val="00B236A7"/>
    <w:rsid w:val="00B41238"/>
    <w:rsid w:val="00BD43F5"/>
    <w:rsid w:val="00BF5EB4"/>
    <w:rsid w:val="00C26DBF"/>
    <w:rsid w:val="00C351C0"/>
    <w:rsid w:val="00C43C9B"/>
    <w:rsid w:val="00CA205C"/>
    <w:rsid w:val="00CD789A"/>
    <w:rsid w:val="00CF5D98"/>
    <w:rsid w:val="00CF5FF9"/>
    <w:rsid w:val="00D0006A"/>
    <w:rsid w:val="00D1450B"/>
    <w:rsid w:val="00D41683"/>
    <w:rsid w:val="00D55E72"/>
    <w:rsid w:val="00D7476B"/>
    <w:rsid w:val="00DC669E"/>
    <w:rsid w:val="00E30BD9"/>
    <w:rsid w:val="00E5031F"/>
    <w:rsid w:val="00E75FC5"/>
    <w:rsid w:val="00E90620"/>
    <w:rsid w:val="00EA36C3"/>
    <w:rsid w:val="00EE37B4"/>
    <w:rsid w:val="00F24AF3"/>
    <w:rsid w:val="00F94BB4"/>
    <w:rsid w:val="00FD620E"/>
    <w:rsid w:val="00FE27A6"/>
    <w:rsid w:val="010121B4"/>
    <w:rsid w:val="02287911"/>
    <w:rsid w:val="0252665D"/>
    <w:rsid w:val="02A971E3"/>
    <w:rsid w:val="03C255BA"/>
    <w:rsid w:val="058C7994"/>
    <w:rsid w:val="06527991"/>
    <w:rsid w:val="080055AF"/>
    <w:rsid w:val="09FE75F3"/>
    <w:rsid w:val="0AA12680"/>
    <w:rsid w:val="0AB66DA2"/>
    <w:rsid w:val="0B02141F"/>
    <w:rsid w:val="0B657E3F"/>
    <w:rsid w:val="0BD14F70"/>
    <w:rsid w:val="0BDC6B84"/>
    <w:rsid w:val="0C483CB5"/>
    <w:rsid w:val="0D781E29"/>
    <w:rsid w:val="0E1B4EB5"/>
    <w:rsid w:val="0E746BC4"/>
    <w:rsid w:val="0F4945EB"/>
    <w:rsid w:val="0F74378A"/>
    <w:rsid w:val="0F816B52"/>
    <w:rsid w:val="109B03CC"/>
    <w:rsid w:val="10F20DDB"/>
    <w:rsid w:val="11697B20"/>
    <w:rsid w:val="12435284"/>
    <w:rsid w:val="12FC46B3"/>
    <w:rsid w:val="13935EAB"/>
    <w:rsid w:val="15E9057E"/>
    <w:rsid w:val="16ED23AA"/>
    <w:rsid w:val="17A1521E"/>
    <w:rsid w:val="17A553DC"/>
    <w:rsid w:val="18324C3F"/>
    <w:rsid w:val="18AB3604"/>
    <w:rsid w:val="18AB65C0"/>
    <w:rsid w:val="18C71461"/>
    <w:rsid w:val="18E70E60"/>
    <w:rsid w:val="19216AC6"/>
    <w:rsid w:val="1A1B2562"/>
    <w:rsid w:val="1AFE0A64"/>
    <w:rsid w:val="1C5A0892"/>
    <w:rsid w:val="1CF73556"/>
    <w:rsid w:val="1DA03128"/>
    <w:rsid w:val="1E846C1E"/>
    <w:rsid w:val="1EAF4B80"/>
    <w:rsid w:val="1EE61241"/>
    <w:rsid w:val="1F4F7E7D"/>
    <w:rsid w:val="1F536669"/>
    <w:rsid w:val="1F8A4E35"/>
    <w:rsid w:val="1F9056DE"/>
    <w:rsid w:val="1FB35111"/>
    <w:rsid w:val="1FD675A5"/>
    <w:rsid w:val="21304B31"/>
    <w:rsid w:val="22ED32DA"/>
    <w:rsid w:val="23BA2A2E"/>
    <w:rsid w:val="247D056D"/>
    <w:rsid w:val="254C7941"/>
    <w:rsid w:val="258D4761"/>
    <w:rsid w:val="25AE66E1"/>
    <w:rsid w:val="266366BF"/>
    <w:rsid w:val="26665E8F"/>
    <w:rsid w:val="26D70F34"/>
    <w:rsid w:val="26DE4854"/>
    <w:rsid w:val="27727853"/>
    <w:rsid w:val="2A024098"/>
    <w:rsid w:val="2ACD70CC"/>
    <w:rsid w:val="2AFB6893"/>
    <w:rsid w:val="2BCA23E3"/>
    <w:rsid w:val="2D0B76E2"/>
    <w:rsid w:val="2D9A1092"/>
    <w:rsid w:val="2DA61CF4"/>
    <w:rsid w:val="2E807459"/>
    <w:rsid w:val="2F797671"/>
    <w:rsid w:val="301C26FD"/>
    <w:rsid w:val="31914DA5"/>
    <w:rsid w:val="32EE2A46"/>
    <w:rsid w:val="333F0CA1"/>
    <w:rsid w:val="33CC3D88"/>
    <w:rsid w:val="35417716"/>
    <w:rsid w:val="35494579"/>
    <w:rsid w:val="35CB1EB1"/>
    <w:rsid w:val="36A46DB4"/>
    <w:rsid w:val="36AF5145"/>
    <w:rsid w:val="36E47B9D"/>
    <w:rsid w:val="375201D1"/>
    <w:rsid w:val="37FF15EF"/>
    <w:rsid w:val="384B03E9"/>
    <w:rsid w:val="386B671F"/>
    <w:rsid w:val="38753408"/>
    <w:rsid w:val="387C4F19"/>
    <w:rsid w:val="39FD3633"/>
    <w:rsid w:val="3A690764"/>
    <w:rsid w:val="3A756719"/>
    <w:rsid w:val="3A7C46C0"/>
    <w:rsid w:val="3BFC4067"/>
    <w:rsid w:val="3E301A13"/>
    <w:rsid w:val="3E9C6B44"/>
    <w:rsid w:val="3ED34AA0"/>
    <w:rsid w:val="3EDE2E31"/>
    <w:rsid w:val="3F3F1BD0"/>
    <w:rsid w:val="402E3A57"/>
    <w:rsid w:val="40E63206"/>
    <w:rsid w:val="41896292"/>
    <w:rsid w:val="42126C29"/>
    <w:rsid w:val="4278399C"/>
    <w:rsid w:val="44371198"/>
    <w:rsid w:val="44AC00B9"/>
    <w:rsid w:val="46120C85"/>
    <w:rsid w:val="465C3839"/>
    <w:rsid w:val="477914D1"/>
    <w:rsid w:val="4888168E"/>
    <w:rsid w:val="49154775"/>
    <w:rsid w:val="498C34BA"/>
    <w:rsid w:val="499D0139"/>
    <w:rsid w:val="49A3785C"/>
    <w:rsid w:val="4A0F0210"/>
    <w:rsid w:val="4AFE2097"/>
    <w:rsid w:val="4B28675E"/>
    <w:rsid w:val="4B667BA4"/>
    <w:rsid w:val="4BC00B2C"/>
    <w:rsid w:val="4CB052E1"/>
    <w:rsid w:val="4D4A0A73"/>
    <w:rsid w:val="4DC0189A"/>
    <w:rsid w:val="4EA80297"/>
    <w:rsid w:val="4F6E6FD7"/>
    <w:rsid w:val="4F91170B"/>
    <w:rsid w:val="4FA7753C"/>
    <w:rsid w:val="514B08D2"/>
    <w:rsid w:val="51F2387E"/>
    <w:rsid w:val="526925C3"/>
    <w:rsid w:val="52F656AA"/>
    <w:rsid w:val="534D2836"/>
    <w:rsid w:val="53E648A5"/>
    <w:rsid w:val="54C33DF6"/>
    <w:rsid w:val="564F1F29"/>
    <w:rsid w:val="56D133FC"/>
    <w:rsid w:val="57AB0B61"/>
    <w:rsid w:val="57D65228"/>
    <w:rsid w:val="57ED4E4E"/>
    <w:rsid w:val="586E1F24"/>
    <w:rsid w:val="59370F39"/>
    <w:rsid w:val="59432079"/>
    <w:rsid w:val="599B7C2F"/>
    <w:rsid w:val="59BE2B4A"/>
    <w:rsid w:val="59E00B01"/>
    <w:rsid w:val="5A006E37"/>
    <w:rsid w:val="5A860670"/>
    <w:rsid w:val="5C54188A"/>
    <w:rsid w:val="5CCC024F"/>
    <w:rsid w:val="5D9A411F"/>
    <w:rsid w:val="5D9B3D9F"/>
    <w:rsid w:val="5DC60467"/>
    <w:rsid w:val="5E277206"/>
    <w:rsid w:val="5F65732E"/>
    <w:rsid w:val="600765F5"/>
    <w:rsid w:val="60665537"/>
    <w:rsid w:val="611E4CE6"/>
    <w:rsid w:val="61351088"/>
    <w:rsid w:val="619736AB"/>
    <w:rsid w:val="625911EA"/>
    <w:rsid w:val="62720F30"/>
    <w:rsid w:val="629038C3"/>
    <w:rsid w:val="62E3633A"/>
    <w:rsid w:val="64FC5F3B"/>
    <w:rsid w:val="655D4CDA"/>
    <w:rsid w:val="65EF13E2"/>
    <w:rsid w:val="669C6863"/>
    <w:rsid w:val="66AD5901"/>
    <w:rsid w:val="670F7F24"/>
    <w:rsid w:val="678E205F"/>
    <w:rsid w:val="68A04E37"/>
    <w:rsid w:val="68B51559"/>
    <w:rsid w:val="68EA47DE"/>
    <w:rsid w:val="69187F79"/>
    <w:rsid w:val="692E469B"/>
    <w:rsid w:val="6AED5722"/>
    <w:rsid w:val="6B592FB3"/>
    <w:rsid w:val="6B770D5D"/>
    <w:rsid w:val="6CA86ED0"/>
    <w:rsid w:val="6CC06F78"/>
    <w:rsid w:val="6D050600"/>
    <w:rsid w:val="6DE333D5"/>
    <w:rsid w:val="6E03170B"/>
    <w:rsid w:val="6E0C39F7"/>
    <w:rsid w:val="6E616042"/>
    <w:rsid w:val="6EA50F15"/>
    <w:rsid w:val="6F33787F"/>
    <w:rsid w:val="6F497C10"/>
    <w:rsid w:val="70221706"/>
    <w:rsid w:val="71D16D2F"/>
    <w:rsid w:val="72A204A0"/>
    <w:rsid w:val="733B1918"/>
    <w:rsid w:val="73A66A49"/>
    <w:rsid w:val="75024B07"/>
    <w:rsid w:val="75435570"/>
    <w:rsid w:val="757379CA"/>
    <w:rsid w:val="75AF26A1"/>
    <w:rsid w:val="75FB3205"/>
    <w:rsid w:val="763C5788"/>
    <w:rsid w:val="7644219B"/>
    <w:rsid w:val="76473B19"/>
    <w:rsid w:val="765E373E"/>
    <w:rsid w:val="76BF24DE"/>
    <w:rsid w:val="76DF0815"/>
    <w:rsid w:val="77992A7F"/>
    <w:rsid w:val="77D144D1"/>
    <w:rsid w:val="787C3AB9"/>
    <w:rsid w:val="791C0021"/>
    <w:rsid w:val="7AB03A59"/>
    <w:rsid w:val="7AFA0806"/>
    <w:rsid w:val="7C985AF7"/>
    <w:rsid w:val="7CD73EB0"/>
    <w:rsid w:val="7E4A0D41"/>
    <w:rsid w:val="7E572360"/>
    <w:rsid w:val="7F5B0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nhideWhenUsed="0" w:qFormat="1"/>
    <w:lsdException w:name="annotation text" w:unhideWhenUsed="0"/>
    <w:lsdException w:name="header" w:semiHidden="0" w:uiPriority="99" w:unhideWhenUsed="0" w:qFormat="1"/>
    <w:lsdException w:name="footer" w:semiHidden="0" w:uiPriority="99" w:unhideWhenUsed="0" w:qFormat="1"/>
    <w:lsdException w:name="caption" w:qFormat="1"/>
    <w:lsdException w:name="annotation reference" w:unhideWhenUsed="0"/>
    <w:lsdException w:name="page number" w:semiHidden="0" w:unhideWhenUsed="0" w:qFormat="1"/>
    <w:lsdException w:name="endnote text" w:semiHidden="0" w:unhideWhenUsed="0"/>
    <w:lsdException w:name="toa heading" w:semiHidden="0" w:unhideWhenUsed="0"/>
    <w:lsdException w:name="List" w:semiHidden="0" w:unhideWhenUsed="0"/>
    <w:lsdException w:name="Title" w:semiHidden="0" w:unhideWhenUsed="0" w:qFormat="1"/>
    <w:lsdException w:name="Default Paragraph Font" w:uiPriority="1"/>
    <w:lsdException w:name="Body Text Indent"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Body Text Indent 2" w:semiHidden="0" w:unhideWhenUsed="0" w:qFormat="1"/>
    <w:lsdException w:name="Hyperlink" w:semiHidden="0" w:unhideWhenUsed="0"/>
    <w:lsdException w:name="FollowedHyperlink" w:semiHidden="0" w:unhideWhenUsed="0" w:qFormat="1"/>
    <w:lsdException w:name="Strong" w:semiHidden="0" w:unhideWhenUsed="0" w:qFormat="1"/>
    <w:lsdException w:name="Emphasis" w:semiHidden="0" w:unhideWhenUsed="0" w:qFormat="1"/>
    <w:lsdException w:name="Document Map" w:semiHidden="0" w:unhideWhenUsed="0" w:qFormat="1"/>
    <w:lsdException w:name="Plain Text" w:semiHidden="0" w:unhideWhenUsed="0" w:qFormat="1"/>
    <w:lsdException w:name="HTML Top of Form" w:uiPriority="99"/>
    <w:lsdException w:name="HTML Bottom of Form" w:uiPriority="99"/>
    <w:lsdException w:name="Normal Table" w:uiPriority="99"/>
    <w:lsdException w:name="annotation subject" w:unhideWhenUsed="0"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nhideWhenUsed="0" w:qFormat="1"/>
    <w:lsdException w:name="Table Grid" w:semiHidden="0" w:uiPriority="99" w:unhideWhenUsed="0"/>
    <w:lsdException w:name="Table Theme" w:uiPriority="99"/>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4F9"/>
    <w:pPr>
      <w:widowControl w:val="0"/>
      <w:jc w:val="both"/>
    </w:pPr>
    <w:rPr>
      <w:kern w:val="2"/>
      <w:sz w:val="21"/>
      <w:szCs w:val="24"/>
    </w:rPr>
  </w:style>
  <w:style w:type="paragraph" w:styleId="1">
    <w:name w:val="heading 1"/>
    <w:basedOn w:val="a"/>
    <w:next w:val="a"/>
    <w:qFormat/>
    <w:rsid w:val="00A674F9"/>
    <w:pPr>
      <w:keepNext/>
      <w:keepLines/>
      <w:spacing w:before="120" w:after="120" w:line="578" w:lineRule="auto"/>
      <w:outlineLvl w:val="0"/>
    </w:pPr>
    <w:rPr>
      <w:b/>
      <w:bCs/>
      <w:kern w:val="44"/>
      <w:sz w:val="28"/>
      <w:szCs w:val="44"/>
    </w:rPr>
  </w:style>
  <w:style w:type="paragraph" w:styleId="2">
    <w:name w:val="heading 2"/>
    <w:basedOn w:val="a"/>
    <w:next w:val="a"/>
    <w:qFormat/>
    <w:rsid w:val="00A674F9"/>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sid w:val="00A674F9"/>
    <w:rPr>
      <w:rFonts w:ascii="宋体"/>
      <w:sz w:val="18"/>
      <w:szCs w:val="18"/>
    </w:rPr>
  </w:style>
  <w:style w:type="paragraph" w:styleId="a4">
    <w:name w:val="annotation text"/>
    <w:basedOn w:val="a"/>
    <w:semiHidden/>
    <w:rsid w:val="00A674F9"/>
    <w:pPr>
      <w:jc w:val="left"/>
    </w:pPr>
  </w:style>
  <w:style w:type="paragraph" w:styleId="a5">
    <w:name w:val="Body Text Indent"/>
    <w:basedOn w:val="a"/>
    <w:qFormat/>
    <w:rsid w:val="00A674F9"/>
    <w:pPr>
      <w:spacing w:after="120"/>
      <w:ind w:leftChars="200" w:left="420"/>
    </w:pPr>
    <w:rPr>
      <w:szCs w:val="20"/>
    </w:rPr>
  </w:style>
  <w:style w:type="paragraph" w:styleId="a6">
    <w:name w:val="Plain Text"/>
    <w:basedOn w:val="a"/>
    <w:qFormat/>
    <w:rsid w:val="00A674F9"/>
    <w:pPr>
      <w:adjustRightInd w:val="0"/>
      <w:spacing w:line="360" w:lineRule="atLeast"/>
      <w:textAlignment w:val="baseline"/>
    </w:pPr>
    <w:rPr>
      <w:rFonts w:ascii="宋体" w:hAnsi="Courier New"/>
      <w:szCs w:val="20"/>
    </w:rPr>
  </w:style>
  <w:style w:type="paragraph" w:styleId="20">
    <w:name w:val="Body Text Indent 2"/>
    <w:basedOn w:val="a"/>
    <w:qFormat/>
    <w:rsid w:val="00A674F9"/>
    <w:pPr>
      <w:spacing w:after="120" w:line="360" w:lineRule="auto"/>
      <w:ind w:firstLineChars="200" w:firstLine="480"/>
    </w:pPr>
    <w:rPr>
      <w:rFonts w:ascii="宋体" w:hAnsi="宋体"/>
      <w:color w:val="FF0000"/>
      <w:sz w:val="24"/>
    </w:rPr>
  </w:style>
  <w:style w:type="paragraph" w:styleId="a7">
    <w:name w:val="Balloon Text"/>
    <w:basedOn w:val="a"/>
    <w:semiHidden/>
    <w:qFormat/>
    <w:rsid w:val="00A674F9"/>
    <w:rPr>
      <w:sz w:val="18"/>
      <w:szCs w:val="18"/>
    </w:rPr>
  </w:style>
  <w:style w:type="paragraph" w:styleId="a8">
    <w:name w:val="footer"/>
    <w:basedOn w:val="a"/>
    <w:link w:val="Char0"/>
    <w:uiPriority w:val="99"/>
    <w:qFormat/>
    <w:rsid w:val="00A674F9"/>
    <w:pPr>
      <w:tabs>
        <w:tab w:val="center" w:pos="4153"/>
        <w:tab w:val="right" w:pos="8306"/>
      </w:tabs>
      <w:snapToGrid w:val="0"/>
      <w:jc w:val="left"/>
    </w:pPr>
    <w:rPr>
      <w:sz w:val="18"/>
      <w:szCs w:val="18"/>
    </w:rPr>
  </w:style>
  <w:style w:type="paragraph" w:styleId="a9">
    <w:name w:val="header"/>
    <w:basedOn w:val="a"/>
    <w:link w:val="Char1"/>
    <w:uiPriority w:val="99"/>
    <w:qFormat/>
    <w:rsid w:val="00A674F9"/>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A674F9"/>
    <w:pPr>
      <w:spacing w:before="360"/>
      <w:jc w:val="left"/>
    </w:pPr>
    <w:rPr>
      <w:rFonts w:ascii="Arial" w:hAnsi="Arial" w:cs="Arial"/>
      <w:b/>
      <w:bCs/>
      <w:caps/>
      <w:sz w:val="24"/>
    </w:rPr>
  </w:style>
  <w:style w:type="paragraph" w:styleId="aa">
    <w:name w:val="annotation subject"/>
    <w:basedOn w:val="a4"/>
    <w:next w:val="a4"/>
    <w:semiHidden/>
    <w:qFormat/>
    <w:rsid w:val="00A674F9"/>
    <w:rPr>
      <w:b/>
      <w:bCs/>
    </w:rPr>
  </w:style>
  <w:style w:type="character" w:styleId="ab">
    <w:name w:val="page number"/>
    <w:basedOn w:val="a0"/>
    <w:qFormat/>
    <w:rsid w:val="00A674F9"/>
  </w:style>
  <w:style w:type="character" w:styleId="ac">
    <w:name w:val="FollowedHyperlink"/>
    <w:basedOn w:val="a0"/>
    <w:qFormat/>
    <w:rsid w:val="00A674F9"/>
    <w:rPr>
      <w:color w:val="800080"/>
      <w:u w:val="single"/>
    </w:rPr>
  </w:style>
  <w:style w:type="character" w:styleId="ad">
    <w:name w:val="Hyperlink"/>
    <w:basedOn w:val="a0"/>
    <w:rsid w:val="00A674F9"/>
    <w:rPr>
      <w:color w:val="0000FF"/>
      <w:u w:val="single"/>
    </w:rPr>
  </w:style>
  <w:style w:type="character" w:styleId="ae">
    <w:name w:val="annotation reference"/>
    <w:basedOn w:val="a0"/>
    <w:semiHidden/>
    <w:rsid w:val="00A674F9"/>
    <w:rPr>
      <w:sz w:val="21"/>
      <w:szCs w:val="21"/>
    </w:rPr>
  </w:style>
  <w:style w:type="paragraph" w:customStyle="1" w:styleId="CharCharCharChar1">
    <w:name w:val="Char Char Char Char1"/>
    <w:basedOn w:val="a"/>
    <w:qFormat/>
    <w:rsid w:val="00A674F9"/>
    <w:rPr>
      <w:szCs w:val="20"/>
    </w:rPr>
  </w:style>
  <w:style w:type="paragraph" w:customStyle="1" w:styleId="CharCharCharChar">
    <w:name w:val="Char Char Char Char"/>
    <w:basedOn w:val="a"/>
    <w:rsid w:val="00A674F9"/>
    <w:pPr>
      <w:tabs>
        <w:tab w:val="left" w:pos="360"/>
      </w:tabs>
    </w:pPr>
    <w:rPr>
      <w:sz w:val="24"/>
    </w:rPr>
  </w:style>
  <w:style w:type="paragraph" w:styleId="af">
    <w:name w:val="No Spacing"/>
    <w:link w:val="Char2"/>
    <w:uiPriority w:val="1"/>
    <w:qFormat/>
    <w:rsid w:val="00A674F9"/>
    <w:rPr>
      <w:rFonts w:ascii="Calibri" w:hAnsi="Calibri"/>
      <w:sz w:val="22"/>
      <w:szCs w:val="22"/>
    </w:rPr>
  </w:style>
  <w:style w:type="character" w:customStyle="1" w:styleId="Char2">
    <w:name w:val="无间隔 Char"/>
    <w:basedOn w:val="a0"/>
    <w:link w:val="af"/>
    <w:uiPriority w:val="1"/>
    <w:qFormat/>
    <w:rsid w:val="00A674F9"/>
    <w:rPr>
      <w:rFonts w:ascii="Calibri" w:hAnsi="Calibri"/>
      <w:sz w:val="22"/>
      <w:szCs w:val="22"/>
      <w:lang w:val="en-US" w:eastAsia="zh-CN" w:bidi="ar-SA"/>
    </w:rPr>
  </w:style>
  <w:style w:type="character" w:customStyle="1" w:styleId="Char1">
    <w:name w:val="页眉 Char"/>
    <w:basedOn w:val="a0"/>
    <w:link w:val="a9"/>
    <w:uiPriority w:val="99"/>
    <w:qFormat/>
    <w:rsid w:val="00A674F9"/>
    <w:rPr>
      <w:kern w:val="2"/>
      <w:sz w:val="18"/>
      <w:szCs w:val="18"/>
    </w:rPr>
  </w:style>
  <w:style w:type="character" w:customStyle="1" w:styleId="Char0">
    <w:name w:val="页脚 Char"/>
    <w:basedOn w:val="a0"/>
    <w:link w:val="a8"/>
    <w:uiPriority w:val="99"/>
    <w:qFormat/>
    <w:rsid w:val="00A674F9"/>
    <w:rPr>
      <w:kern w:val="2"/>
      <w:sz w:val="18"/>
      <w:szCs w:val="18"/>
    </w:rPr>
  </w:style>
  <w:style w:type="character" w:customStyle="1" w:styleId="Char">
    <w:name w:val="文档结构图 Char"/>
    <w:basedOn w:val="a0"/>
    <w:link w:val="a3"/>
    <w:qFormat/>
    <w:rsid w:val="00A674F9"/>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904D1F-6D99-4628-A811-2453AF6BE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4203</Words>
  <Characters>23963</Characters>
  <Application>Microsoft Office Word</Application>
  <DocSecurity>0</DocSecurity>
  <Lines>199</Lines>
  <Paragraphs>56</Paragraphs>
  <ScaleCrop>false</ScaleCrop>
  <Company>ICBCOA</Company>
  <LinksUpToDate>false</LinksUpToDate>
  <CharactersWithSpaces>28110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XX基金管理有限公司</dc:title>
  <dc:creator>习倩</dc:creator>
  <cp:lastModifiedBy>huangtianhong</cp:lastModifiedBy>
  <cp:revision>8</cp:revision>
  <cp:lastPrinted>2014-12-19T08:23:00Z</cp:lastPrinted>
  <dcterms:created xsi:type="dcterms:W3CDTF">2019-09-19T02:42:00Z</dcterms:created>
  <dcterms:modified xsi:type="dcterms:W3CDTF">2019-10-30T11:02:00Z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