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3A" w:rsidRPr="00D02ED3" w:rsidRDefault="00455B3A">
      <w:pPr>
        <w:spacing w:line="360" w:lineRule="auto"/>
        <w:jc w:val="left"/>
        <w:rPr>
          <w:rFonts w:ascii="仿宋" w:eastAsia="仿宋" w:hAnsi="仿宋"/>
          <w:b/>
          <w:color w:val="000000"/>
          <w:sz w:val="32"/>
        </w:rPr>
      </w:pPr>
      <w:r w:rsidRPr="00D02ED3">
        <w:rPr>
          <w:rFonts w:ascii="仿宋" w:eastAsia="仿宋" w:hAnsi="仿宋" w:hint="eastAsia"/>
          <w:b/>
          <w:color w:val="000000"/>
          <w:sz w:val="32"/>
        </w:rPr>
        <w:t>合同编码:光银托管2015J011</w:t>
      </w:r>
    </w:p>
    <w:p w:rsidR="00455B3A" w:rsidRPr="00D02ED3" w:rsidRDefault="00455B3A">
      <w:pPr>
        <w:spacing w:line="360" w:lineRule="auto"/>
        <w:jc w:val="center"/>
        <w:rPr>
          <w:rFonts w:ascii="仿宋" w:eastAsia="仿宋" w:hAnsi="仿宋"/>
          <w:b/>
          <w:color w:val="000000"/>
          <w:sz w:val="32"/>
        </w:rPr>
      </w:pPr>
    </w:p>
    <w:p w:rsidR="00455B3A" w:rsidRPr="00D02ED3" w:rsidRDefault="00455B3A">
      <w:pPr>
        <w:spacing w:line="360" w:lineRule="auto"/>
        <w:jc w:val="center"/>
        <w:rPr>
          <w:rFonts w:ascii="仿宋" w:eastAsia="仿宋" w:hAnsi="仿宋"/>
          <w:b/>
          <w:color w:val="000000"/>
          <w:sz w:val="32"/>
        </w:rPr>
      </w:pPr>
    </w:p>
    <w:p w:rsidR="00455B3A" w:rsidRPr="00D02ED3" w:rsidRDefault="00455B3A">
      <w:pPr>
        <w:spacing w:line="360" w:lineRule="auto"/>
        <w:jc w:val="center"/>
        <w:rPr>
          <w:rFonts w:ascii="仿宋" w:eastAsia="仿宋" w:hAnsi="仿宋"/>
          <w:b/>
          <w:color w:val="000000"/>
          <w:sz w:val="32"/>
        </w:rPr>
      </w:pPr>
    </w:p>
    <w:p w:rsidR="00455B3A" w:rsidRPr="00D02ED3" w:rsidRDefault="00455B3A">
      <w:pPr>
        <w:spacing w:line="360" w:lineRule="auto"/>
        <w:jc w:val="center"/>
        <w:rPr>
          <w:rFonts w:ascii="仿宋" w:eastAsia="仿宋" w:hAnsi="仿宋"/>
          <w:b/>
          <w:color w:val="000000"/>
          <w:sz w:val="48"/>
          <w:szCs w:val="20"/>
        </w:rPr>
      </w:pPr>
    </w:p>
    <w:p w:rsidR="00455B3A" w:rsidRPr="00D02ED3" w:rsidRDefault="00455B3A">
      <w:pPr>
        <w:spacing w:line="360" w:lineRule="auto"/>
        <w:jc w:val="center"/>
        <w:rPr>
          <w:rFonts w:ascii="仿宋" w:eastAsia="仿宋" w:hAnsi="仿宋"/>
          <w:b/>
          <w:color w:val="000000"/>
          <w:sz w:val="48"/>
          <w:szCs w:val="20"/>
        </w:rPr>
      </w:pPr>
      <w:r w:rsidRPr="00D02ED3">
        <w:rPr>
          <w:rFonts w:ascii="仿宋" w:eastAsia="仿宋" w:hAnsi="仿宋" w:hint="eastAsia"/>
          <w:b/>
          <w:color w:val="000000"/>
          <w:sz w:val="48"/>
          <w:szCs w:val="20"/>
        </w:rPr>
        <w:t>财通多策略精选混合型证券投资基金(LOF)</w:t>
      </w:r>
    </w:p>
    <w:p w:rsidR="00455B3A" w:rsidRPr="00D02ED3" w:rsidRDefault="00455B3A">
      <w:pPr>
        <w:spacing w:line="360" w:lineRule="auto"/>
        <w:jc w:val="center"/>
        <w:rPr>
          <w:rFonts w:ascii="仿宋" w:eastAsia="仿宋" w:hAnsi="仿宋"/>
          <w:b/>
          <w:color w:val="000000"/>
          <w:sz w:val="48"/>
          <w:szCs w:val="20"/>
        </w:rPr>
      </w:pPr>
      <w:r w:rsidRPr="00D02ED3">
        <w:rPr>
          <w:rFonts w:ascii="仿宋" w:eastAsia="仿宋" w:hAnsi="仿宋" w:hint="eastAsia"/>
          <w:b/>
          <w:color w:val="000000"/>
          <w:sz w:val="48"/>
          <w:szCs w:val="20"/>
        </w:rPr>
        <w:t>托管协议</w:t>
      </w:r>
    </w:p>
    <w:p w:rsidR="00455B3A" w:rsidRPr="00D02ED3" w:rsidRDefault="00455B3A">
      <w:pPr>
        <w:spacing w:line="360" w:lineRule="auto"/>
        <w:jc w:val="center"/>
        <w:rPr>
          <w:rFonts w:ascii="仿宋" w:eastAsia="仿宋" w:hAnsi="仿宋"/>
          <w:color w:val="000000"/>
          <w:sz w:val="30"/>
        </w:rPr>
      </w:pPr>
    </w:p>
    <w:p w:rsidR="00455B3A" w:rsidRPr="00D02ED3" w:rsidRDefault="00455B3A">
      <w:pPr>
        <w:spacing w:line="360" w:lineRule="auto"/>
        <w:jc w:val="center"/>
        <w:rPr>
          <w:rFonts w:ascii="仿宋" w:eastAsia="仿宋" w:hAnsi="仿宋"/>
          <w:color w:val="000000"/>
          <w:sz w:val="30"/>
        </w:rPr>
      </w:pPr>
    </w:p>
    <w:p w:rsidR="00455B3A" w:rsidRPr="00D02ED3" w:rsidRDefault="00455B3A">
      <w:pPr>
        <w:spacing w:line="360" w:lineRule="auto"/>
        <w:jc w:val="center"/>
        <w:rPr>
          <w:rFonts w:ascii="仿宋" w:eastAsia="仿宋" w:hAnsi="仿宋"/>
          <w:color w:val="000000"/>
          <w:sz w:val="30"/>
        </w:rPr>
      </w:pPr>
    </w:p>
    <w:p w:rsidR="00455B3A" w:rsidRPr="00D02ED3" w:rsidRDefault="00455B3A">
      <w:pPr>
        <w:spacing w:line="360" w:lineRule="auto"/>
        <w:jc w:val="center"/>
        <w:rPr>
          <w:rFonts w:ascii="仿宋" w:eastAsia="仿宋" w:hAnsi="仿宋"/>
          <w:color w:val="000000"/>
          <w:sz w:val="30"/>
        </w:rPr>
      </w:pPr>
    </w:p>
    <w:p w:rsidR="00455B3A" w:rsidRPr="00D02ED3" w:rsidRDefault="00455B3A">
      <w:pPr>
        <w:spacing w:line="360" w:lineRule="auto"/>
        <w:jc w:val="center"/>
        <w:rPr>
          <w:rFonts w:ascii="仿宋" w:eastAsia="仿宋" w:hAnsi="仿宋"/>
          <w:color w:val="000000"/>
          <w:sz w:val="30"/>
        </w:rPr>
      </w:pPr>
    </w:p>
    <w:p w:rsidR="00455B3A" w:rsidRPr="00D02ED3" w:rsidRDefault="00455B3A">
      <w:pPr>
        <w:spacing w:line="360" w:lineRule="auto"/>
        <w:jc w:val="center"/>
        <w:rPr>
          <w:rFonts w:ascii="仿宋" w:eastAsia="仿宋" w:hAnsi="仿宋"/>
          <w:color w:val="000000"/>
          <w:sz w:val="30"/>
        </w:rPr>
      </w:pPr>
    </w:p>
    <w:p w:rsidR="00455B3A" w:rsidRPr="00D02ED3" w:rsidRDefault="00455B3A">
      <w:pPr>
        <w:spacing w:line="360" w:lineRule="auto"/>
        <w:jc w:val="center"/>
        <w:rPr>
          <w:rFonts w:ascii="仿宋" w:eastAsia="仿宋" w:hAnsi="仿宋"/>
          <w:color w:val="000000"/>
          <w:sz w:val="30"/>
        </w:rPr>
      </w:pPr>
    </w:p>
    <w:p w:rsidR="00455B3A" w:rsidRPr="00D02ED3" w:rsidRDefault="00455B3A">
      <w:pPr>
        <w:spacing w:line="360" w:lineRule="auto"/>
        <w:jc w:val="center"/>
        <w:rPr>
          <w:rFonts w:ascii="仿宋" w:eastAsia="仿宋" w:hAnsi="仿宋"/>
          <w:color w:val="000000"/>
          <w:sz w:val="30"/>
        </w:rPr>
      </w:pPr>
    </w:p>
    <w:p w:rsidR="00455B3A" w:rsidRPr="00D02ED3" w:rsidRDefault="00455B3A">
      <w:pPr>
        <w:spacing w:line="360" w:lineRule="auto"/>
        <w:jc w:val="center"/>
        <w:rPr>
          <w:rFonts w:ascii="仿宋" w:eastAsia="仿宋" w:hAnsi="仿宋"/>
          <w:color w:val="000000"/>
          <w:sz w:val="30"/>
        </w:rPr>
      </w:pPr>
    </w:p>
    <w:p w:rsidR="00455B3A" w:rsidRPr="00D02ED3" w:rsidRDefault="00455B3A">
      <w:pPr>
        <w:spacing w:line="360" w:lineRule="auto"/>
        <w:jc w:val="center"/>
        <w:rPr>
          <w:rFonts w:ascii="仿宋" w:eastAsia="仿宋" w:hAnsi="仿宋"/>
          <w:b/>
          <w:color w:val="000000"/>
          <w:sz w:val="36"/>
          <w:szCs w:val="20"/>
        </w:rPr>
      </w:pPr>
      <w:bookmarkStart w:id="0" w:name="_Toc322632716"/>
      <w:r w:rsidRPr="00D02ED3">
        <w:rPr>
          <w:rFonts w:ascii="仿宋" w:eastAsia="仿宋" w:hAnsi="仿宋" w:hint="eastAsia"/>
          <w:b/>
          <w:color w:val="000000"/>
          <w:sz w:val="36"/>
          <w:szCs w:val="20"/>
        </w:rPr>
        <w:t>基金管理人：</w:t>
      </w:r>
      <w:bookmarkStart w:id="1" w:name="_Toc322632717"/>
      <w:bookmarkEnd w:id="0"/>
      <w:r w:rsidRPr="00D02ED3">
        <w:rPr>
          <w:rFonts w:ascii="仿宋" w:eastAsia="仿宋" w:hAnsi="仿宋" w:hint="eastAsia"/>
          <w:b/>
          <w:color w:val="000000"/>
          <w:sz w:val="36"/>
          <w:szCs w:val="20"/>
        </w:rPr>
        <w:t>财通基金管理有限公司</w:t>
      </w:r>
    </w:p>
    <w:p w:rsidR="00455B3A" w:rsidRPr="00D02ED3" w:rsidRDefault="00455B3A">
      <w:pPr>
        <w:spacing w:line="360" w:lineRule="auto"/>
        <w:jc w:val="center"/>
        <w:rPr>
          <w:rFonts w:ascii="仿宋" w:eastAsia="仿宋" w:hAnsi="仿宋"/>
          <w:b/>
          <w:color w:val="000000"/>
          <w:sz w:val="36"/>
          <w:szCs w:val="20"/>
        </w:rPr>
      </w:pPr>
      <w:r w:rsidRPr="00D02ED3">
        <w:rPr>
          <w:rFonts w:ascii="仿宋" w:eastAsia="仿宋" w:hAnsi="仿宋" w:hint="eastAsia"/>
          <w:b/>
          <w:color w:val="000000"/>
          <w:sz w:val="36"/>
          <w:szCs w:val="20"/>
        </w:rPr>
        <w:t>基金托管人：中国光大银行股份有限公司</w:t>
      </w:r>
      <w:bookmarkEnd w:id="1"/>
    </w:p>
    <w:p w:rsidR="00455B3A" w:rsidRPr="00D02ED3" w:rsidRDefault="00455B3A">
      <w:pPr>
        <w:spacing w:line="360" w:lineRule="auto"/>
        <w:ind w:left="2698" w:hanging="2698"/>
        <w:outlineLvl w:val="0"/>
        <w:rPr>
          <w:rFonts w:ascii="仿宋" w:eastAsia="仿宋" w:hAnsi="仿宋"/>
          <w:b/>
          <w:color w:val="000000"/>
          <w:sz w:val="30"/>
          <w:szCs w:val="30"/>
        </w:rPr>
      </w:pPr>
    </w:p>
    <w:p w:rsidR="00455B3A" w:rsidRPr="00D02ED3" w:rsidRDefault="009E3BFC" w:rsidP="00210FBD">
      <w:pPr>
        <w:spacing w:line="360" w:lineRule="auto"/>
        <w:ind w:left="2698" w:hangingChars="896" w:hanging="2698"/>
        <w:jc w:val="center"/>
        <w:outlineLvl w:val="0"/>
        <w:rPr>
          <w:rFonts w:ascii="仿宋" w:eastAsia="仿宋" w:hAnsi="仿宋"/>
          <w:b/>
          <w:color w:val="000000"/>
          <w:sz w:val="28"/>
          <w:szCs w:val="28"/>
        </w:rPr>
      </w:pPr>
      <w:r w:rsidRPr="00D02ED3">
        <w:rPr>
          <w:rFonts w:ascii="仿宋" w:eastAsia="仿宋" w:hAnsi="仿宋" w:hint="eastAsia"/>
          <w:b/>
          <w:color w:val="000000"/>
          <w:sz w:val="30"/>
          <w:szCs w:val="30"/>
        </w:rPr>
        <w:t>二〇一八年三</w:t>
      </w:r>
      <w:r w:rsidR="00455B3A" w:rsidRPr="00D02ED3">
        <w:rPr>
          <w:rFonts w:ascii="仿宋" w:eastAsia="仿宋" w:hAnsi="仿宋" w:hint="eastAsia"/>
          <w:b/>
          <w:color w:val="000000"/>
          <w:sz w:val="30"/>
          <w:szCs w:val="30"/>
        </w:rPr>
        <w:t>月修订</w:t>
      </w:r>
    </w:p>
    <w:p w:rsidR="00455B3A" w:rsidRPr="00D02ED3" w:rsidRDefault="00455B3A">
      <w:pPr>
        <w:spacing w:line="360" w:lineRule="auto"/>
        <w:jc w:val="center"/>
        <w:rPr>
          <w:rFonts w:ascii="仿宋" w:eastAsia="仿宋" w:hAnsi="仿宋"/>
          <w:color w:val="000000"/>
          <w:sz w:val="24"/>
          <w:szCs w:val="24"/>
        </w:rPr>
      </w:pPr>
      <w:r w:rsidRPr="00D02ED3">
        <w:rPr>
          <w:rFonts w:ascii="仿宋" w:eastAsia="仿宋" w:hAnsi="仿宋" w:hint="eastAsia"/>
          <w:b/>
          <w:color w:val="000000"/>
          <w:sz w:val="28"/>
          <w:szCs w:val="28"/>
        </w:rPr>
        <w:br w:type="page"/>
      </w:r>
    </w:p>
    <w:p w:rsidR="00455B3A" w:rsidRPr="00D02ED3" w:rsidRDefault="00455B3A">
      <w:pPr>
        <w:spacing w:line="360" w:lineRule="auto"/>
        <w:jc w:val="center"/>
        <w:rPr>
          <w:rFonts w:ascii="仿宋" w:eastAsia="仿宋" w:hAnsi="仿宋"/>
          <w:b/>
          <w:color w:val="000000"/>
          <w:sz w:val="28"/>
          <w:szCs w:val="28"/>
        </w:rPr>
      </w:pPr>
      <w:r w:rsidRPr="00D02ED3">
        <w:rPr>
          <w:rFonts w:ascii="仿宋" w:eastAsia="仿宋" w:hAnsi="仿宋" w:hint="eastAsia"/>
          <w:b/>
          <w:color w:val="000000"/>
          <w:sz w:val="28"/>
          <w:szCs w:val="28"/>
        </w:rPr>
        <w:t>目  录</w:t>
      </w:r>
    </w:p>
    <w:p w:rsidR="00455B3A" w:rsidRPr="00D02ED3" w:rsidRDefault="00455B3A">
      <w:pPr>
        <w:spacing w:line="360" w:lineRule="auto"/>
        <w:jc w:val="center"/>
        <w:rPr>
          <w:rFonts w:ascii="仿宋" w:eastAsia="仿宋" w:hAnsi="仿宋"/>
          <w:b/>
          <w:color w:val="000000"/>
          <w:sz w:val="28"/>
          <w:szCs w:val="28"/>
        </w:rPr>
      </w:pPr>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r w:rsidRPr="00D02ED3">
        <w:rPr>
          <w:rFonts w:ascii="仿宋" w:eastAsia="仿宋" w:hAnsi="仿宋" w:hint="eastAsia"/>
          <w:color w:val="000000"/>
          <w:sz w:val="24"/>
          <w:szCs w:val="24"/>
        </w:rPr>
        <w:fldChar w:fldCharType="begin"/>
      </w:r>
      <w:r w:rsidRPr="00D02ED3">
        <w:rPr>
          <w:rFonts w:ascii="仿宋" w:eastAsia="仿宋" w:hAnsi="仿宋" w:hint="eastAsia"/>
          <w:color w:val="000000"/>
          <w:sz w:val="24"/>
          <w:szCs w:val="24"/>
        </w:rPr>
        <w:instrText xml:space="preserve"> TOC \o "1-1" \h \z \u </w:instrText>
      </w:r>
      <w:r w:rsidRPr="00D02ED3">
        <w:rPr>
          <w:rFonts w:ascii="仿宋" w:eastAsia="仿宋" w:hAnsi="仿宋" w:hint="eastAsia"/>
          <w:color w:val="000000"/>
          <w:sz w:val="24"/>
          <w:szCs w:val="24"/>
        </w:rPr>
        <w:fldChar w:fldCharType="separate"/>
      </w:r>
      <w:hyperlink r:id="rId7" w:anchor="_Toc264617141" w:history="1">
        <w:r w:rsidRPr="00D02ED3">
          <w:rPr>
            <w:rStyle w:val="a3"/>
            <w:rFonts w:ascii="仿宋" w:eastAsia="仿宋" w:hAnsi="仿宋" w:hint="eastAsia"/>
            <w:color w:val="000000"/>
            <w:sz w:val="24"/>
            <w:szCs w:val="24"/>
            <w:lang w:val="en-US" w:eastAsia="zh-CN"/>
          </w:rPr>
          <w:t>一、基金托管协议当事人</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_Toc264617141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4</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8" w:anchor="_Toc264617142" w:history="1">
        <w:r w:rsidRPr="00D02ED3">
          <w:rPr>
            <w:rStyle w:val="a3"/>
            <w:rFonts w:ascii="仿宋" w:eastAsia="仿宋" w:hAnsi="仿宋" w:hint="eastAsia"/>
            <w:color w:val="000000"/>
            <w:sz w:val="24"/>
            <w:szCs w:val="24"/>
            <w:lang w:val="en-US" w:eastAsia="zh-CN"/>
          </w:rPr>
          <w:t>二、基金托管协议的依据、目的、原则和解释</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_Toc264617142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5</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9" w:anchor="_Toc264617143" w:history="1">
        <w:r w:rsidRPr="00D02ED3">
          <w:rPr>
            <w:rStyle w:val="a3"/>
            <w:rFonts w:ascii="仿宋" w:eastAsia="仿宋" w:hAnsi="仿宋" w:hint="eastAsia"/>
            <w:color w:val="000000"/>
            <w:sz w:val="24"/>
            <w:szCs w:val="24"/>
            <w:lang w:val="en-US" w:eastAsia="zh-CN"/>
          </w:rPr>
          <w:t>三、基金托管人对基金管</w:t>
        </w:r>
        <w:bookmarkStart w:id="2" w:name="_Hlt417399594"/>
        <w:bookmarkStart w:id="3" w:name="_Hlt417399595"/>
        <w:r w:rsidRPr="00D02ED3">
          <w:rPr>
            <w:rStyle w:val="a3"/>
            <w:rFonts w:ascii="仿宋" w:eastAsia="仿宋" w:hAnsi="仿宋" w:hint="eastAsia"/>
            <w:color w:val="000000"/>
            <w:sz w:val="24"/>
            <w:szCs w:val="24"/>
            <w:lang w:val="en-US" w:eastAsia="zh-CN"/>
          </w:rPr>
          <w:t>理</w:t>
        </w:r>
        <w:bookmarkEnd w:id="2"/>
        <w:bookmarkEnd w:id="3"/>
        <w:r w:rsidRPr="00D02ED3">
          <w:rPr>
            <w:rStyle w:val="a3"/>
            <w:rFonts w:ascii="仿宋" w:eastAsia="仿宋" w:hAnsi="仿宋" w:hint="eastAsia"/>
            <w:color w:val="000000"/>
            <w:sz w:val="24"/>
            <w:szCs w:val="24"/>
            <w:lang w:val="en-US" w:eastAsia="zh-CN"/>
          </w:rPr>
          <w:t>人的业务监督和核查</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_Toc264617143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6</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10" w:anchor="_Toc264617144" w:history="1">
        <w:r w:rsidRPr="00D02ED3">
          <w:rPr>
            <w:rStyle w:val="a3"/>
            <w:rFonts w:ascii="仿宋" w:eastAsia="仿宋" w:hAnsi="仿宋" w:hint="eastAsia"/>
            <w:color w:val="000000"/>
            <w:sz w:val="24"/>
            <w:szCs w:val="24"/>
            <w:lang w:val="en-US" w:eastAsia="zh-CN"/>
          </w:rPr>
          <w:t>四、基金管理人对基金托</w:t>
        </w:r>
        <w:bookmarkStart w:id="4" w:name="_Hlt417399596"/>
        <w:r w:rsidRPr="00D02ED3">
          <w:rPr>
            <w:rStyle w:val="a3"/>
            <w:rFonts w:ascii="仿宋" w:eastAsia="仿宋" w:hAnsi="仿宋" w:hint="eastAsia"/>
            <w:color w:val="000000"/>
            <w:sz w:val="24"/>
            <w:szCs w:val="24"/>
            <w:lang w:val="en-US" w:eastAsia="zh-CN"/>
          </w:rPr>
          <w:t>管</w:t>
        </w:r>
        <w:bookmarkEnd w:id="4"/>
        <w:r w:rsidRPr="00D02ED3">
          <w:rPr>
            <w:rStyle w:val="a3"/>
            <w:rFonts w:ascii="仿宋" w:eastAsia="仿宋" w:hAnsi="仿宋" w:hint="eastAsia"/>
            <w:color w:val="000000"/>
            <w:sz w:val="24"/>
            <w:szCs w:val="24"/>
            <w:lang w:val="en-US" w:eastAsia="zh-CN"/>
          </w:rPr>
          <w:t>人的业务核查</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_Toc264617144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12</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11" w:anchor="_Toc264617145" w:history="1">
        <w:r w:rsidRPr="00D02ED3">
          <w:rPr>
            <w:rStyle w:val="a3"/>
            <w:rFonts w:ascii="仿宋" w:eastAsia="仿宋" w:hAnsi="仿宋" w:hint="eastAsia"/>
            <w:color w:val="000000"/>
            <w:sz w:val="24"/>
            <w:szCs w:val="24"/>
            <w:lang w:val="en-US" w:eastAsia="zh-CN"/>
          </w:rPr>
          <w:t>五、基金财产的保管</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_Toc264617145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13</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12" w:anchor="_Toc264617146" w:history="1">
        <w:r w:rsidRPr="00D02ED3">
          <w:rPr>
            <w:rStyle w:val="a3"/>
            <w:rFonts w:ascii="仿宋" w:eastAsia="仿宋" w:hAnsi="仿宋" w:hint="eastAsia"/>
            <w:color w:val="000000"/>
            <w:sz w:val="24"/>
            <w:szCs w:val="24"/>
            <w:lang w:val="en-US" w:eastAsia="zh-CN"/>
          </w:rPr>
          <w:t>六、指令的发送、确认及执行</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_Toc264617146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16</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13" w:anchor="_Toc264617147" w:history="1">
        <w:r w:rsidRPr="00D02ED3">
          <w:rPr>
            <w:rStyle w:val="a3"/>
            <w:rFonts w:ascii="仿宋" w:eastAsia="仿宋" w:hAnsi="仿宋" w:hint="eastAsia"/>
            <w:color w:val="000000"/>
            <w:sz w:val="24"/>
            <w:szCs w:val="24"/>
            <w:lang w:val="en-US" w:eastAsia="zh-CN"/>
          </w:rPr>
          <w:t>七、交易及清算交收安排</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_Toc264617147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19</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14" w:anchor="_Toc264617148" w:history="1">
        <w:r w:rsidRPr="00D02ED3">
          <w:rPr>
            <w:rStyle w:val="a3"/>
            <w:rFonts w:ascii="仿宋" w:eastAsia="仿宋" w:hAnsi="仿宋" w:hint="eastAsia"/>
            <w:color w:val="000000"/>
            <w:sz w:val="24"/>
            <w:szCs w:val="24"/>
            <w:lang w:val="en-US" w:eastAsia="zh-CN"/>
          </w:rPr>
          <w:t>八、基金资产净值计算和会计核算</w:t>
        </w:r>
        <w:bookmarkStart w:id="5" w:name="_Hlt496535350"/>
        <w:bookmarkStart w:id="6" w:name="_Hlt496535351"/>
        <w:r w:rsidRPr="00D02ED3">
          <w:rPr>
            <w:rStyle w:val="a3"/>
            <w:rFonts w:ascii="仿宋" w:eastAsia="仿宋" w:hAnsi="仿宋" w:hint="eastAsia"/>
            <w:color w:val="000000"/>
            <w:sz w:val="24"/>
            <w:szCs w:val="24"/>
            <w:lang w:val="en-US" w:eastAsia="zh-CN"/>
          </w:rPr>
          <w:tab/>
        </w:r>
        <w:bookmarkEnd w:id="5"/>
        <w:bookmarkEnd w:id="6"/>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_Toc264617148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24</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15" w:anchor="_Toc264617149" w:history="1">
        <w:r w:rsidRPr="00D02ED3">
          <w:rPr>
            <w:rStyle w:val="a3"/>
            <w:rFonts w:ascii="仿宋" w:eastAsia="仿宋" w:hAnsi="仿宋" w:hint="eastAsia"/>
            <w:color w:val="000000"/>
            <w:sz w:val="24"/>
            <w:szCs w:val="24"/>
            <w:lang w:val="en-US" w:eastAsia="zh-CN"/>
          </w:rPr>
          <w:t>九、基金收益分配</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_Toc264617149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30</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16" w:anchor="_Toc264617150" w:history="1">
        <w:r w:rsidRPr="00D02ED3">
          <w:rPr>
            <w:rStyle w:val="a3"/>
            <w:rFonts w:ascii="仿宋" w:eastAsia="仿宋" w:hAnsi="仿宋" w:hint="eastAsia"/>
            <w:color w:val="000000"/>
            <w:sz w:val="24"/>
            <w:szCs w:val="24"/>
            <w:lang w:val="en-US" w:eastAsia="zh-CN"/>
          </w:rPr>
          <w:t>十、基金信息披露</w:t>
        </w:r>
        <w:bookmarkStart w:id="7" w:name="_Hlt421101680"/>
        <w:bookmarkStart w:id="8" w:name="_Hlt421101681"/>
        <w:bookmarkStart w:id="9" w:name="_Hlt421101682"/>
        <w:r w:rsidRPr="00D02ED3">
          <w:rPr>
            <w:rStyle w:val="a3"/>
            <w:rFonts w:ascii="仿宋" w:eastAsia="仿宋" w:hAnsi="仿宋" w:hint="eastAsia"/>
            <w:color w:val="000000"/>
            <w:sz w:val="24"/>
            <w:szCs w:val="24"/>
            <w:lang w:val="en-US" w:eastAsia="zh-CN"/>
          </w:rPr>
          <w:tab/>
        </w:r>
        <w:bookmarkEnd w:id="7"/>
        <w:bookmarkEnd w:id="8"/>
        <w:bookmarkEnd w:id="9"/>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_Toc264617150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31</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17" w:anchor="_Toc264617151" w:history="1">
        <w:r w:rsidRPr="00D02ED3">
          <w:rPr>
            <w:rStyle w:val="a3"/>
            <w:rFonts w:ascii="仿宋" w:eastAsia="仿宋" w:hAnsi="仿宋" w:hint="eastAsia"/>
            <w:color w:val="000000"/>
            <w:sz w:val="24"/>
            <w:szCs w:val="24"/>
            <w:lang w:val="en-US" w:eastAsia="zh-CN"/>
          </w:rPr>
          <w:t>十一、基金费用</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_Toc264617151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33</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18" w:anchor="_Toc264617152" w:history="1">
        <w:r w:rsidRPr="00D02ED3">
          <w:rPr>
            <w:rStyle w:val="a3"/>
            <w:rFonts w:ascii="仿宋" w:eastAsia="仿宋" w:hAnsi="仿宋" w:hint="eastAsia"/>
            <w:color w:val="000000"/>
            <w:sz w:val="24"/>
            <w:szCs w:val="24"/>
            <w:lang w:val="en-US" w:eastAsia="zh-CN"/>
          </w:rPr>
          <w:t>十二、基金份额持有人名册的保管</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_Toc264617152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35</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19" w:anchor="_Toc264617153" w:history="1">
        <w:r w:rsidRPr="00D02ED3">
          <w:rPr>
            <w:rStyle w:val="a3"/>
            <w:rFonts w:ascii="仿宋" w:eastAsia="仿宋" w:hAnsi="仿宋" w:hint="eastAsia"/>
            <w:color w:val="000000"/>
            <w:sz w:val="24"/>
            <w:szCs w:val="24"/>
            <w:lang w:val="en-US" w:eastAsia="zh-CN"/>
          </w:rPr>
          <w:t>十三、基金有关文件档案的保存</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_Toc264617153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36</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20" w:anchor="_Toc264617154" w:history="1">
        <w:r w:rsidRPr="00D02ED3">
          <w:rPr>
            <w:rStyle w:val="a3"/>
            <w:rFonts w:ascii="仿宋" w:eastAsia="仿宋" w:hAnsi="仿宋" w:hint="eastAsia"/>
            <w:color w:val="000000"/>
            <w:sz w:val="24"/>
            <w:szCs w:val="24"/>
            <w:lang w:val="en-US" w:eastAsia="zh-CN"/>
          </w:rPr>
          <w:t>十四、基金管理人和基金托管人的更换</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_Toc264617154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37</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21" w:anchor="_Toc264617155" w:history="1">
        <w:r w:rsidRPr="00D02ED3">
          <w:rPr>
            <w:rStyle w:val="a3"/>
            <w:rFonts w:ascii="仿宋" w:eastAsia="仿宋" w:hAnsi="仿宋" w:hint="eastAsia"/>
            <w:color w:val="000000"/>
            <w:sz w:val="24"/>
            <w:szCs w:val="24"/>
            <w:lang w:val="en-US" w:eastAsia="zh-CN"/>
          </w:rPr>
          <w:t>十五、禁止行为</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_Toc264617155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40</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22" w:anchor="_Toc264617156" w:history="1">
        <w:r w:rsidRPr="00D02ED3">
          <w:rPr>
            <w:rStyle w:val="a3"/>
            <w:rFonts w:ascii="仿宋" w:eastAsia="仿宋" w:hAnsi="仿宋" w:hint="eastAsia"/>
            <w:color w:val="000000"/>
            <w:sz w:val="24"/>
            <w:szCs w:val="24"/>
            <w:lang w:val="en-US" w:eastAsia="zh-CN"/>
          </w:rPr>
          <w:t>十六、托管协议的变更、终止与基金财产的清算</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_Toc264617156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42</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23" w:anchor="_Toc264617157" w:history="1">
        <w:r w:rsidRPr="00D02ED3">
          <w:rPr>
            <w:rStyle w:val="a3"/>
            <w:rFonts w:ascii="仿宋" w:eastAsia="仿宋" w:hAnsi="仿宋" w:hint="eastAsia"/>
            <w:color w:val="000000"/>
            <w:sz w:val="24"/>
            <w:szCs w:val="24"/>
            <w:lang w:val="en-US" w:eastAsia="zh-CN"/>
          </w:rPr>
          <w:t>十七、违约责任</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_Toc264617157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44</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24" w:anchor="_Toc264617158" w:history="1">
        <w:r w:rsidRPr="00D02ED3">
          <w:rPr>
            <w:rStyle w:val="a3"/>
            <w:rFonts w:ascii="仿宋" w:eastAsia="仿宋" w:hAnsi="仿宋" w:hint="eastAsia"/>
            <w:color w:val="000000"/>
            <w:sz w:val="24"/>
            <w:szCs w:val="24"/>
            <w:lang w:val="en-US" w:eastAsia="zh-CN"/>
          </w:rPr>
          <w:t>十八、争议解决方式</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_Toc264617158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46</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25" w:anchor="_Toc264617159" w:history="1">
        <w:r w:rsidRPr="00D02ED3">
          <w:rPr>
            <w:rStyle w:val="a3"/>
            <w:rFonts w:ascii="仿宋" w:eastAsia="仿宋" w:hAnsi="仿宋" w:hint="eastAsia"/>
            <w:color w:val="000000"/>
            <w:sz w:val="24"/>
            <w:szCs w:val="24"/>
            <w:lang w:val="en-US" w:eastAsia="zh-CN"/>
          </w:rPr>
          <w:t>十九、托管协议的效力</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_Toc264617159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47</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26" w:anchor="_Toc264617160" w:history="1">
        <w:r w:rsidRPr="00D02ED3">
          <w:rPr>
            <w:rStyle w:val="a3"/>
            <w:rFonts w:ascii="仿宋" w:eastAsia="仿宋" w:hAnsi="仿宋" w:hint="eastAsia"/>
            <w:color w:val="000000"/>
            <w:sz w:val="24"/>
            <w:szCs w:val="24"/>
            <w:lang w:val="en-US" w:eastAsia="zh-CN"/>
          </w:rPr>
          <w:t>二十、其他事项</w:t>
        </w:r>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_Toc264617160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48</w:t>
        </w:r>
        <w:r w:rsidRPr="00D02ED3">
          <w:rPr>
            <w:rFonts w:ascii="仿宋" w:eastAsia="仿宋" w:hAnsi="仿宋" w:hint="eastAsia"/>
            <w:color w:val="000000"/>
            <w:sz w:val="24"/>
            <w:szCs w:val="24"/>
            <w:lang w:val="en-US" w:eastAsia="zh-CN"/>
          </w:rPr>
          <w:fldChar w:fldCharType="end"/>
        </w:r>
      </w:hyperlink>
    </w:p>
    <w:p w:rsidR="00455B3A" w:rsidRPr="00D02ED3" w:rsidRDefault="00455B3A">
      <w:pPr>
        <w:pStyle w:val="10"/>
        <w:tabs>
          <w:tab w:val="right" w:leader="hyphen" w:pos="8296"/>
        </w:tabs>
        <w:spacing w:line="360" w:lineRule="auto"/>
        <w:rPr>
          <w:rFonts w:ascii="仿宋" w:eastAsia="仿宋" w:hAnsi="仿宋"/>
          <w:color w:val="000000"/>
          <w:kern w:val="2"/>
          <w:sz w:val="24"/>
          <w:szCs w:val="24"/>
          <w:lang w:val="en-US" w:eastAsia="zh-CN"/>
        </w:rPr>
      </w:pPr>
      <w:hyperlink r:id="rId27" w:anchor="_Toc264617161" w:history="1">
        <w:r w:rsidRPr="00D02ED3">
          <w:rPr>
            <w:rStyle w:val="a3"/>
            <w:rFonts w:ascii="仿宋" w:eastAsia="仿宋" w:hAnsi="仿宋" w:hint="eastAsia"/>
            <w:color w:val="000000"/>
            <w:sz w:val="24"/>
            <w:szCs w:val="24"/>
            <w:lang w:val="en-US" w:eastAsia="zh-CN"/>
          </w:rPr>
          <w:t>二十一、托管协议</w:t>
        </w:r>
        <w:bookmarkStart w:id="10" w:name="_Hlt322636245"/>
        <w:bookmarkStart w:id="11" w:name="_Hlt322636246"/>
        <w:r w:rsidRPr="00D02ED3">
          <w:rPr>
            <w:rStyle w:val="a3"/>
            <w:rFonts w:ascii="仿宋" w:eastAsia="仿宋" w:hAnsi="仿宋" w:hint="eastAsia"/>
            <w:color w:val="000000"/>
            <w:sz w:val="24"/>
            <w:szCs w:val="24"/>
            <w:lang w:val="en-US" w:eastAsia="zh-CN"/>
          </w:rPr>
          <w:t>的</w:t>
        </w:r>
        <w:bookmarkStart w:id="12" w:name="_Hlt405917362"/>
        <w:bookmarkStart w:id="13" w:name="_Hlt405917363"/>
        <w:bookmarkEnd w:id="10"/>
        <w:bookmarkEnd w:id="11"/>
        <w:r w:rsidRPr="00D02ED3">
          <w:rPr>
            <w:rStyle w:val="a3"/>
            <w:rFonts w:ascii="仿宋" w:eastAsia="仿宋" w:hAnsi="仿宋" w:hint="eastAsia"/>
            <w:color w:val="000000"/>
            <w:sz w:val="24"/>
            <w:szCs w:val="24"/>
            <w:lang w:val="en-US" w:eastAsia="zh-CN"/>
          </w:rPr>
          <w:t>签</w:t>
        </w:r>
        <w:bookmarkStart w:id="14" w:name="_Hlt405917375"/>
        <w:bookmarkEnd w:id="12"/>
        <w:bookmarkEnd w:id="13"/>
        <w:r w:rsidRPr="00D02ED3">
          <w:rPr>
            <w:rStyle w:val="a3"/>
            <w:rFonts w:ascii="仿宋" w:eastAsia="仿宋" w:hAnsi="仿宋" w:hint="eastAsia"/>
            <w:color w:val="000000"/>
            <w:sz w:val="24"/>
            <w:szCs w:val="24"/>
            <w:lang w:val="en-US" w:eastAsia="zh-CN"/>
          </w:rPr>
          <w:t>订</w:t>
        </w:r>
        <w:bookmarkEnd w:id="14"/>
        <w:r w:rsidRPr="00D02ED3">
          <w:rPr>
            <w:rStyle w:val="a3"/>
            <w:rFonts w:ascii="仿宋" w:eastAsia="仿宋" w:hAnsi="仿宋" w:hint="eastAsia"/>
            <w:color w:val="000000"/>
            <w:sz w:val="24"/>
            <w:szCs w:val="24"/>
            <w:lang w:val="en-US" w:eastAsia="zh-CN"/>
          </w:rPr>
          <w:tab/>
        </w:r>
        <w:r w:rsidRPr="00D02ED3">
          <w:rPr>
            <w:rFonts w:ascii="仿宋" w:eastAsia="仿宋" w:hAnsi="仿宋" w:hint="eastAsia"/>
            <w:color w:val="000000"/>
            <w:sz w:val="24"/>
            <w:szCs w:val="24"/>
            <w:lang w:val="en-US" w:eastAsia="zh-CN"/>
          </w:rPr>
          <w:fldChar w:fldCharType="begin"/>
        </w:r>
        <w:r w:rsidRPr="00D02ED3">
          <w:rPr>
            <w:rStyle w:val="a3"/>
            <w:rFonts w:ascii="仿宋" w:eastAsia="仿宋" w:hAnsi="仿宋" w:hint="eastAsia"/>
            <w:color w:val="000000"/>
            <w:sz w:val="24"/>
            <w:szCs w:val="24"/>
            <w:lang w:val="en-US" w:eastAsia="zh-CN"/>
          </w:rPr>
          <w:instrText xml:space="preserve"> PAGEREF _Toc264617161 \h </w:instrText>
        </w:r>
        <w:r w:rsidR="00D255CB" w:rsidRPr="00D02ED3">
          <w:rPr>
            <w:rFonts w:ascii="仿宋" w:eastAsia="仿宋" w:hAnsi="仿宋" w:hint="eastAsia"/>
            <w:color w:val="000000"/>
            <w:sz w:val="24"/>
            <w:szCs w:val="24"/>
            <w:lang w:val="en-US" w:eastAsia="zh-CN"/>
          </w:rPr>
        </w:r>
        <w:r w:rsidRPr="00D02ED3">
          <w:rPr>
            <w:rFonts w:ascii="仿宋" w:eastAsia="仿宋" w:hAnsi="仿宋" w:hint="eastAsia"/>
            <w:color w:val="000000"/>
            <w:sz w:val="24"/>
            <w:szCs w:val="24"/>
            <w:lang w:val="en-US" w:eastAsia="zh-CN"/>
          </w:rPr>
          <w:fldChar w:fldCharType="separate"/>
        </w:r>
        <w:r w:rsidR="00D255CB" w:rsidRPr="00D02ED3">
          <w:rPr>
            <w:rStyle w:val="a3"/>
            <w:rFonts w:ascii="仿宋" w:eastAsia="仿宋" w:hAnsi="仿宋"/>
            <w:noProof/>
            <w:color w:val="000000"/>
            <w:sz w:val="24"/>
            <w:szCs w:val="24"/>
            <w:lang w:val="en-US" w:eastAsia="zh-CN"/>
          </w:rPr>
          <w:t>49</w:t>
        </w:r>
        <w:r w:rsidRPr="00D02ED3">
          <w:rPr>
            <w:rFonts w:ascii="仿宋" w:eastAsia="仿宋" w:hAnsi="仿宋" w:hint="eastAsia"/>
            <w:color w:val="000000"/>
            <w:sz w:val="24"/>
            <w:szCs w:val="24"/>
            <w:lang w:val="en-US" w:eastAsia="zh-CN"/>
          </w:rPr>
          <w:fldChar w:fldCharType="end"/>
        </w:r>
      </w:hyperlink>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fldChar w:fldCharType="end"/>
      </w:r>
      <w:r w:rsidRPr="00D02ED3">
        <w:rPr>
          <w:rFonts w:ascii="仿宋" w:eastAsia="仿宋" w:hAnsi="仿宋" w:hint="eastAsia"/>
          <w:color w:val="000000"/>
          <w:sz w:val="24"/>
          <w:szCs w:val="24"/>
        </w:rPr>
        <w:br w:type="page"/>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鉴于</w:t>
      </w:r>
      <w:r w:rsidRPr="00D02ED3">
        <w:rPr>
          <w:rFonts w:ascii="仿宋" w:eastAsia="仿宋" w:hAnsi="仿宋" w:hint="eastAsia"/>
          <w:color w:val="000000"/>
          <w:sz w:val="24"/>
        </w:rPr>
        <w:t>财通基金管理有限公司</w:t>
      </w:r>
      <w:r w:rsidRPr="00D02ED3">
        <w:rPr>
          <w:rFonts w:ascii="仿宋" w:eastAsia="仿宋" w:hAnsi="仿宋" w:hint="eastAsia"/>
          <w:color w:val="000000"/>
          <w:sz w:val="24"/>
          <w:szCs w:val="24"/>
        </w:rPr>
        <w:t>系一家依照中国法律合法成立并有效存续的有限责任公司，按照相关法律法规的规定具备担任基金管理人的资格和能力；</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鉴于中国光大银行股份有限公司系一家依照中国法律合法成立并有效存续的银行，按照相关法律法规的规定具备担任基金托管人的资格和能力；</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鉴于</w:t>
      </w:r>
      <w:r w:rsidRPr="00D02ED3">
        <w:rPr>
          <w:rFonts w:ascii="仿宋" w:eastAsia="仿宋" w:hAnsi="仿宋" w:hint="eastAsia"/>
          <w:color w:val="000000"/>
          <w:sz w:val="24"/>
        </w:rPr>
        <w:t>财通基金管理有限公司</w:t>
      </w:r>
      <w:r w:rsidRPr="00D02ED3">
        <w:rPr>
          <w:rFonts w:ascii="仿宋" w:eastAsia="仿宋" w:hAnsi="仿宋" w:hint="eastAsia"/>
          <w:color w:val="000000"/>
          <w:sz w:val="24"/>
          <w:szCs w:val="24"/>
        </w:rPr>
        <w:t>拟担任</w:t>
      </w:r>
      <w:r w:rsidRPr="00D02ED3">
        <w:rPr>
          <w:rFonts w:ascii="仿宋" w:eastAsia="仿宋" w:hAnsi="仿宋" w:hint="eastAsia"/>
          <w:color w:val="000000"/>
          <w:sz w:val="24"/>
        </w:rPr>
        <w:t>财通多策略精选混合型证券投资基金(LOF)</w:t>
      </w:r>
      <w:r w:rsidRPr="00D02ED3">
        <w:rPr>
          <w:rFonts w:ascii="仿宋" w:eastAsia="仿宋" w:hAnsi="仿宋" w:hint="eastAsia"/>
          <w:color w:val="000000"/>
          <w:sz w:val="24"/>
          <w:szCs w:val="24"/>
        </w:rPr>
        <w:t>的基金管理人，中国光大银行股份有限公司拟担任</w:t>
      </w:r>
      <w:r w:rsidRPr="00D02ED3">
        <w:rPr>
          <w:rFonts w:ascii="仿宋" w:eastAsia="仿宋" w:hAnsi="仿宋" w:hint="eastAsia"/>
          <w:color w:val="000000"/>
          <w:sz w:val="24"/>
        </w:rPr>
        <w:t>财通多策略精选混合型证券投资基金(LOF)</w:t>
      </w:r>
      <w:r w:rsidRPr="00D02ED3">
        <w:rPr>
          <w:rFonts w:ascii="仿宋" w:eastAsia="仿宋" w:hAnsi="仿宋" w:hint="eastAsia"/>
          <w:color w:val="000000"/>
          <w:sz w:val="24"/>
          <w:szCs w:val="24"/>
        </w:rPr>
        <w:t>的基金托管人；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为</w:t>
      </w:r>
      <w:proofErr w:type="gramStart"/>
      <w:r w:rsidRPr="00D02ED3">
        <w:rPr>
          <w:rFonts w:ascii="仿宋" w:eastAsia="仿宋" w:hAnsi="仿宋" w:hint="eastAsia"/>
          <w:color w:val="000000"/>
          <w:sz w:val="24"/>
          <w:szCs w:val="24"/>
        </w:rPr>
        <w:t>明确</w:t>
      </w:r>
      <w:r w:rsidRPr="00D02ED3">
        <w:rPr>
          <w:rFonts w:ascii="仿宋" w:eastAsia="仿宋" w:hAnsi="仿宋" w:hint="eastAsia"/>
          <w:color w:val="000000"/>
          <w:sz w:val="24"/>
        </w:rPr>
        <w:t>财</w:t>
      </w:r>
      <w:proofErr w:type="gramEnd"/>
      <w:r w:rsidRPr="00D02ED3">
        <w:rPr>
          <w:rFonts w:ascii="仿宋" w:eastAsia="仿宋" w:hAnsi="仿宋" w:hint="eastAsia"/>
          <w:color w:val="000000"/>
          <w:sz w:val="24"/>
        </w:rPr>
        <w:t>通多策略精选混合型证券投资基金(LOF)</w:t>
      </w:r>
      <w:r w:rsidRPr="00D02ED3">
        <w:rPr>
          <w:rFonts w:ascii="仿宋" w:eastAsia="仿宋" w:hAnsi="仿宋" w:hint="eastAsia"/>
          <w:color w:val="000000"/>
          <w:sz w:val="24"/>
          <w:szCs w:val="24"/>
        </w:rPr>
        <w:t>的基金管理人和基金托管人之间的权利义务关系，特制订本托管协议；</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除非另有约定，《</w:t>
      </w:r>
      <w:r w:rsidRPr="00D02ED3">
        <w:rPr>
          <w:rFonts w:ascii="仿宋" w:eastAsia="仿宋" w:hAnsi="仿宋" w:hint="eastAsia"/>
          <w:color w:val="000000"/>
          <w:sz w:val="24"/>
        </w:rPr>
        <w:t>财通多策略精选混合型证券投资基金(LOF)</w:t>
      </w:r>
      <w:r w:rsidRPr="00D02ED3">
        <w:rPr>
          <w:rFonts w:ascii="仿宋" w:eastAsia="仿宋" w:hAnsi="仿宋" w:hint="eastAsia"/>
          <w:color w:val="000000"/>
          <w:sz w:val="24"/>
          <w:szCs w:val="24"/>
        </w:rPr>
        <w:t>基金合同》(以下简称“基金合同”)中定义的术语在用于本托管协议时应具有相同的含义；若有抵触应以基金合同为准，并依其条款解释。</w:t>
      </w:r>
    </w:p>
    <w:p w:rsidR="00455B3A" w:rsidRPr="00D02ED3" w:rsidRDefault="00455B3A">
      <w:pPr>
        <w:pStyle w:val="aa"/>
        <w:rPr>
          <w:rFonts w:ascii="仿宋" w:eastAsia="仿宋" w:hAnsi="仿宋"/>
          <w:sz w:val="30"/>
          <w:szCs w:val="30"/>
        </w:rPr>
      </w:pPr>
      <w:r w:rsidRPr="00D02ED3">
        <w:rPr>
          <w:b w:val="0"/>
          <w:bCs w:val="0"/>
          <w:sz w:val="24"/>
          <w:szCs w:val="24"/>
        </w:rPr>
        <w:br w:type="page"/>
      </w:r>
      <w:bookmarkStart w:id="15" w:name="_Toc264617141"/>
      <w:r w:rsidRPr="00D02ED3">
        <w:rPr>
          <w:rFonts w:ascii="仿宋" w:eastAsia="仿宋" w:hAnsi="仿宋" w:hint="eastAsia"/>
          <w:sz w:val="30"/>
          <w:szCs w:val="30"/>
        </w:rPr>
        <w:lastRenderedPageBreak/>
        <w:t>一、基金托管协议当事人</w:t>
      </w:r>
      <w:bookmarkEnd w:id="15"/>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（一）基金管理人</w:t>
      </w:r>
    </w:p>
    <w:p w:rsidR="00455B3A" w:rsidRPr="00D02ED3" w:rsidRDefault="00455B3A">
      <w:pPr>
        <w:spacing w:line="360" w:lineRule="auto"/>
        <w:ind w:firstLineChars="200" w:firstLine="480"/>
        <w:rPr>
          <w:rFonts w:ascii="仿宋" w:eastAsia="仿宋" w:hAnsi="仿宋"/>
          <w:color w:val="000000"/>
          <w:sz w:val="24"/>
        </w:rPr>
      </w:pPr>
      <w:bookmarkStart w:id="16" w:name="_Toc15118236"/>
      <w:r w:rsidRPr="00D02ED3">
        <w:rPr>
          <w:rFonts w:ascii="仿宋" w:eastAsia="仿宋" w:hAnsi="仿宋" w:hint="eastAsia"/>
          <w:color w:val="000000"/>
          <w:sz w:val="24"/>
        </w:rPr>
        <w:t>名称：财通基金管理有限公司</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住所：上海市虹口区吴淞路619号505室</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法定代表人：阮琪</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设立日期：2011年6月21日</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批准设立机关及批准设立文号：中国证监会证监许可【2011】840号</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组织形式：有限责任公司</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注册资本：贰亿元人民币</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存续期限：持续经营</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联系电话：021-6888 6666</w:t>
      </w:r>
    </w:p>
    <w:bookmarkEnd w:id="16"/>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（二）基金托管人</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名称：中国光大银行股份有限公司</w:t>
      </w:r>
    </w:p>
    <w:p w:rsidR="00455B3A" w:rsidRPr="00D02ED3" w:rsidRDefault="00455B3A">
      <w:pPr>
        <w:spacing w:line="360" w:lineRule="auto"/>
        <w:ind w:firstLineChars="200" w:firstLine="480"/>
        <w:rPr>
          <w:rFonts w:ascii="仿宋" w:eastAsia="仿宋" w:hAnsi="仿宋"/>
          <w:color w:val="000000"/>
          <w:sz w:val="24"/>
          <w:shd w:val="pct10" w:color="auto" w:fill="FFFFFF"/>
        </w:rPr>
      </w:pPr>
      <w:r w:rsidRPr="00D02ED3">
        <w:rPr>
          <w:rFonts w:ascii="仿宋" w:eastAsia="仿宋" w:hAnsi="仿宋" w:hint="eastAsia"/>
          <w:color w:val="000000"/>
          <w:sz w:val="24"/>
        </w:rPr>
        <w:t>住所：北京市西城区太平桥大街25号中国光大中心</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法定代表人：唐双宁</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成立时间：1992年8月18日</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批准设立机关和批准设立文号：国务院、国函[1992]7号</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注册资本：人民币404.3479亿元</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存续期间：持续经营</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基金托管资格批文及文号：证</w:t>
      </w:r>
      <w:proofErr w:type="gramStart"/>
      <w:r w:rsidRPr="00D02ED3">
        <w:rPr>
          <w:rFonts w:ascii="仿宋" w:eastAsia="仿宋" w:hAnsi="仿宋" w:hint="eastAsia"/>
          <w:color w:val="000000"/>
          <w:sz w:val="24"/>
        </w:rPr>
        <w:t>监基金字</w:t>
      </w:r>
      <w:proofErr w:type="gramEnd"/>
      <w:r w:rsidRPr="00D02ED3">
        <w:rPr>
          <w:rFonts w:ascii="仿宋" w:eastAsia="仿宋" w:hAnsi="仿宋" w:hint="eastAsia"/>
          <w:color w:val="000000"/>
          <w:sz w:val="24"/>
        </w:rPr>
        <w:t>【2002】75号</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联系人:林迈</w:t>
      </w:r>
    </w:p>
    <w:p w:rsidR="00455B3A" w:rsidRPr="00D02ED3" w:rsidRDefault="00455B3A">
      <w:pPr>
        <w:spacing w:line="360" w:lineRule="auto"/>
        <w:ind w:firstLineChars="200" w:firstLine="480"/>
        <w:rPr>
          <w:rFonts w:ascii="仿宋" w:eastAsia="仿宋" w:hAnsi="仿宋"/>
          <w:color w:val="000000"/>
          <w:sz w:val="24"/>
        </w:rPr>
      </w:pPr>
      <w:r w:rsidRPr="00D02ED3">
        <w:rPr>
          <w:rFonts w:ascii="仿宋" w:eastAsia="仿宋" w:hAnsi="仿宋" w:hint="eastAsia"/>
          <w:color w:val="000000"/>
          <w:sz w:val="24"/>
        </w:rPr>
        <w:t>联系电话:010-63636363</w:t>
      </w:r>
    </w:p>
    <w:p w:rsidR="00455B3A" w:rsidRPr="00D02ED3" w:rsidRDefault="00455B3A">
      <w:pPr>
        <w:spacing w:line="360" w:lineRule="auto"/>
        <w:ind w:firstLineChars="200" w:firstLine="480"/>
        <w:jc w:val="center"/>
        <w:rPr>
          <w:rFonts w:ascii="仿宋" w:eastAsia="仿宋" w:hAnsi="仿宋"/>
          <w:bCs/>
          <w:color w:val="000000"/>
          <w:sz w:val="30"/>
          <w:szCs w:val="30"/>
        </w:rPr>
      </w:pPr>
      <w:r w:rsidRPr="00D02ED3">
        <w:rPr>
          <w:rFonts w:ascii="仿宋" w:eastAsia="仿宋" w:hAnsi="仿宋" w:hint="eastAsia"/>
          <w:color w:val="000000"/>
          <w:sz w:val="24"/>
          <w:szCs w:val="24"/>
        </w:rPr>
        <w:br w:type="page"/>
      </w:r>
      <w:bookmarkStart w:id="17" w:name="_Toc264617142"/>
      <w:r w:rsidRPr="00D02ED3">
        <w:rPr>
          <w:rFonts w:ascii="仿宋" w:eastAsia="仿宋" w:hAnsi="仿宋" w:hint="eastAsia"/>
          <w:b/>
          <w:bCs/>
          <w:sz w:val="30"/>
          <w:szCs w:val="30"/>
        </w:rPr>
        <w:lastRenderedPageBreak/>
        <w:t>二、基金托管协议的依据、目的、原则和解释</w:t>
      </w:r>
      <w:bookmarkEnd w:id="17"/>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（一）订立托管协议的依据</w:t>
      </w:r>
    </w:p>
    <w:p w:rsidR="00455B3A" w:rsidRPr="00D02ED3" w:rsidRDefault="00455B3A">
      <w:pPr>
        <w:spacing w:line="360" w:lineRule="auto"/>
        <w:ind w:firstLineChars="200" w:firstLine="480"/>
        <w:rPr>
          <w:rFonts w:ascii="仿宋" w:eastAsia="仿宋" w:hAnsi="仿宋"/>
          <w:color w:val="000000"/>
          <w:sz w:val="24"/>
          <w:szCs w:val="24"/>
          <w:shd w:val="pct10" w:color="auto" w:fill="FFFFFF"/>
        </w:rPr>
      </w:pPr>
      <w:r w:rsidRPr="00D02ED3">
        <w:rPr>
          <w:rFonts w:ascii="仿宋" w:eastAsia="仿宋" w:hAnsi="仿宋" w:hint="eastAsia"/>
          <w:color w:val="000000"/>
          <w:sz w:val="24"/>
          <w:szCs w:val="24"/>
        </w:rPr>
        <w:t>本协议依据《中华人民共和国合同法》、《中华人民共和国证券投资基金法》(以下简称“《基金法》”) 《公开募集证券投资基金运作管理办法》（以下称“《运作办法》”）、《证券投资基金信息披露管理办法》（以下称“《信息披露办法》”）、《公开募集开放式证券投资基金流动性风险管理规定》等有关法律法规、《财通多策略精选混合型证券投资基金(LOF)基金合同》（ 以下称“基金合同”）及其他有关规定制订。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（二）订立托管协议的目的</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（三）订立托管协议的原则</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基金管理人和基金托管人本着平等自愿、诚实信用、充分保护基金份额持有人合法权益的原则，经协商一致，签订本协议。</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（四）解释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除非文义另有所指，本托管协议的所有术语与基金合同的相应术语具有相同含义。</w:t>
      </w:r>
    </w:p>
    <w:p w:rsidR="00455B3A" w:rsidRPr="00D02ED3" w:rsidRDefault="00455B3A">
      <w:pPr>
        <w:spacing w:line="360" w:lineRule="auto"/>
        <w:ind w:firstLineChars="200" w:firstLine="480"/>
        <w:rPr>
          <w:rFonts w:ascii="仿宋" w:eastAsia="仿宋" w:hAnsi="仿宋"/>
          <w:color w:val="000000"/>
          <w:sz w:val="24"/>
          <w:szCs w:val="24"/>
        </w:rPr>
      </w:pP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18" w:name="_Toc264617143"/>
      <w:r w:rsidRPr="00D02ED3">
        <w:rPr>
          <w:rFonts w:ascii="仿宋" w:eastAsia="仿宋" w:hAnsi="仿宋" w:hint="eastAsia"/>
          <w:sz w:val="30"/>
          <w:szCs w:val="30"/>
        </w:rPr>
        <w:lastRenderedPageBreak/>
        <w:t>三、基金托管人对基金管理人的业务监督和核查</w:t>
      </w:r>
      <w:bookmarkEnd w:id="18"/>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（一）基金托管人根据有关法律法规的规定及基金合同的约定，对基金投资范围、投资比例进行监督。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本基金将投资于以下金融工具：</w:t>
      </w:r>
    </w:p>
    <w:p w:rsidR="00455B3A" w:rsidRPr="00D02ED3" w:rsidRDefault="00455B3A">
      <w:pPr>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国内依法发行上市的股票（包括中小板、创业板及其他经中国证监会核准上市的股票）、权证、债券、中期票据、短期融资</w:t>
      </w:r>
      <w:proofErr w:type="gramStart"/>
      <w:r w:rsidRPr="00D02ED3">
        <w:rPr>
          <w:rFonts w:ascii="仿宋" w:eastAsia="仿宋" w:hAnsi="仿宋" w:hint="eastAsia"/>
          <w:color w:val="000000"/>
          <w:sz w:val="24"/>
          <w:szCs w:val="24"/>
        </w:rPr>
        <w:t>券</w:t>
      </w:r>
      <w:proofErr w:type="gramEnd"/>
      <w:r w:rsidRPr="00D02ED3">
        <w:rPr>
          <w:rFonts w:ascii="仿宋" w:eastAsia="仿宋" w:hAnsi="仿宋" w:hint="eastAsia"/>
          <w:color w:val="000000"/>
          <w:sz w:val="24"/>
          <w:szCs w:val="24"/>
        </w:rPr>
        <w:t>、资产支持证券、债券回购、银行存款、货币市场工具以及法律法规或中国证监会允许基金投资的其他金融工具，但须符合中国证监会相关规定。</w:t>
      </w:r>
    </w:p>
    <w:p w:rsidR="00455B3A" w:rsidRPr="00D02ED3" w:rsidRDefault="00455B3A">
      <w:pPr>
        <w:ind w:firstLine="482"/>
        <w:rPr>
          <w:rFonts w:ascii="仿宋" w:eastAsia="仿宋" w:hAnsi="仿宋"/>
          <w:bCs/>
          <w:sz w:val="24"/>
        </w:rPr>
      </w:pPr>
      <w:r w:rsidRPr="00D02ED3">
        <w:rPr>
          <w:rFonts w:ascii="仿宋" w:eastAsia="仿宋" w:hAnsi="仿宋" w:hint="eastAsia"/>
          <w:color w:val="000000"/>
          <w:sz w:val="24"/>
          <w:szCs w:val="24"/>
        </w:rPr>
        <w:t>基金的投资组合比例为：</w:t>
      </w:r>
      <w:r w:rsidRPr="00D02ED3">
        <w:rPr>
          <w:rFonts w:ascii="仿宋" w:eastAsia="仿宋" w:hAnsi="仿宋" w:hint="eastAsia"/>
          <w:bCs/>
          <w:sz w:val="24"/>
        </w:rPr>
        <w:t>股票资产比例为基金资产净值的30%～95%；债券、中期票据、短期融资</w:t>
      </w:r>
      <w:proofErr w:type="gramStart"/>
      <w:r w:rsidRPr="00D02ED3">
        <w:rPr>
          <w:rFonts w:ascii="仿宋" w:eastAsia="仿宋" w:hAnsi="仿宋" w:hint="eastAsia"/>
          <w:bCs/>
          <w:sz w:val="24"/>
        </w:rPr>
        <w:t>券</w:t>
      </w:r>
      <w:proofErr w:type="gramEnd"/>
      <w:r w:rsidRPr="00D02ED3">
        <w:rPr>
          <w:rFonts w:ascii="仿宋" w:eastAsia="仿宋" w:hAnsi="仿宋" w:hint="eastAsia"/>
          <w:bCs/>
          <w:sz w:val="24"/>
        </w:rPr>
        <w:t>、资产支持证券、债券回购、银行存款、货币市场工具等固定收益品种的比例为基金资产净值的0%～70%；转换为上市开放式基金（LOF）后，现金或到期日在一年以内的政府债券不低于基金资产净值的5%（封闭期内现金或到期日在一年以内的政府债券不受此限制），其中，现金不包括结算备付金、存出保证金、应收申购款等。</w:t>
      </w:r>
    </w:p>
    <w:p w:rsidR="00455B3A" w:rsidRPr="00D02ED3" w:rsidRDefault="00455B3A">
      <w:pPr>
        <w:spacing w:line="360" w:lineRule="auto"/>
        <w:ind w:firstLine="480"/>
        <w:rPr>
          <w:rFonts w:ascii="仿宋" w:eastAsia="仿宋" w:hAnsi="仿宋"/>
          <w:bCs/>
          <w:color w:val="000000"/>
          <w:sz w:val="24"/>
        </w:rPr>
      </w:pPr>
      <w:r w:rsidRPr="00D02ED3">
        <w:rPr>
          <w:rFonts w:ascii="仿宋" w:eastAsia="仿宋" w:hAnsi="仿宋" w:hint="eastAsia"/>
          <w:bCs/>
          <w:sz w:val="24"/>
        </w:rPr>
        <w:t>如法律法规或监管机构以后允许本基金投资其他品种，基金管理人在履行适当程序后，可以将其纳入投资范围。</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（二）基金托管人根据有关法律法规的规定及基金合同的约定，对基金投资、融资比例进行监督。基金托管人按下述比例和调整期限进行监督：</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a、股票资产比例为基金资产净值的30%～95%；债券、中期票据、短期融资</w:t>
      </w:r>
      <w:proofErr w:type="gramStart"/>
      <w:r w:rsidRPr="00D02ED3">
        <w:rPr>
          <w:rFonts w:ascii="仿宋" w:eastAsia="仿宋" w:hAnsi="仿宋" w:hint="eastAsia"/>
          <w:bCs/>
          <w:sz w:val="24"/>
        </w:rPr>
        <w:t>券</w:t>
      </w:r>
      <w:proofErr w:type="gramEnd"/>
      <w:r w:rsidRPr="00D02ED3">
        <w:rPr>
          <w:rFonts w:ascii="仿宋" w:eastAsia="仿宋" w:hAnsi="仿宋" w:hint="eastAsia"/>
          <w:bCs/>
          <w:sz w:val="24"/>
        </w:rPr>
        <w:t>、资产支持证券、债券回购、银行存款、货币市场工具等固定收益品种的比例为基金资产净值的0%～70%；</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b、转换为上市开放式基金（LOF）后，现金或到期日在一年以内的政府债券不低于基金资产净值的5%（封闭期内现金或到期日在一年以内的政府债券不受此限制），其中，现金不包括结算备付金、存出保证金、应收申购款等；</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c、持有一家公司发行的证券，其市值不超过基金资产净值的10％；</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d、本基金管理人管理的全部基金持有一家公司发行的证券，不超过该证券的10％；</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e、本基金持有的全部权证，其市值不得超过基金资产净值的3％；</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f、本基金管理人管理的全部基金持有的同一权证，不得超过该权证的   10％；</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g、本基金在任何交易日买入权证的总金额，不得超过上一交易日基金资产</w:t>
      </w:r>
      <w:r w:rsidRPr="00D02ED3">
        <w:rPr>
          <w:rFonts w:ascii="仿宋" w:eastAsia="仿宋" w:hAnsi="仿宋" w:hint="eastAsia"/>
          <w:bCs/>
          <w:sz w:val="24"/>
        </w:rPr>
        <w:lastRenderedPageBreak/>
        <w:t>净值的0.5％；</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h、本基金投资于同一原始权益人的各类资产支持证券的比例，不得超过基金资产净值的10％；</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i、本基金持有的全部资产支持证券，其市值不得超过基金资产净值的20％；</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j、本基金持有的同一(指同一信用级别)资产支持证券的比例，不得超过该资产支持证券规模的10％；</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k、本基金管理人管理的全部基金投资于同一原始权益人的各类资产支持证券，不得超过其各类资产支持证券合计规模的10％；</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l、本基金应投资于信用级别评级为BBB以上(含BBB)的资产支持证券。基金持有资产支持证券期间，如果其信用等级下降、不再符合投资标准，应在评级报告发布之日起3个月内予以全部卖出；</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m、基金财产参与股票发行申购，本基金所申报的金额不超过本基金的总资产，本基金所申报的股票数量不超过拟发行股票公司本次发行股票的总量；</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n、本基金进入全国银行间同业市场进行债券回购的资金余额不得超过基金资产净值的40%；</w:t>
      </w:r>
    </w:p>
    <w:p w:rsidR="00455B3A" w:rsidRPr="00D02ED3" w:rsidRDefault="00455B3A">
      <w:pPr>
        <w:spacing w:line="360" w:lineRule="auto"/>
        <w:ind w:firstLineChars="200" w:firstLine="480"/>
        <w:rPr>
          <w:rFonts w:ascii="仿宋" w:eastAsia="仿宋" w:hAnsi="仿宋" w:hint="eastAsia"/>
          <w:bCs/>
          <w:sz w:val="24"/>
        </w:rPr>
      </w:pPr>
      <w:r w:rsidRPr="00D02ED3">
        <w:rPr>
          <w:rFonts w:ascii="仿宋" w:eastAsia="仿宋" w:hAnsi="仿宋" w:hint="eastAsia"/>
          <w:bCs/>
          <w:sz w:val="24"/>
        </w:rPr>
        <w:t>o、本基金总资产不得超过基金净资产的140%；</w:t>
      </w:r>
    </w:p>
    <w:p w:rsidR="00455B3A" w:rsidRPr="00D02ED3" w:rsidRDefault="00455B3A">
      <w:pPr>
        <w:spacing w:line="360" w:lineRule="auto"/>
        <w:ind w:firstLineChars="200" w:firstLine="480"/>
        <w:rPr>
          <w:rFonts w:ascii="仿宋" w:eastAsia="仿宋" w:hAnsi="仿宋" w:cs="仿宋" w:hint="eastAsia"/>
          <w:bCs/>
          <w:sz w:val="24"/>
          <w:shd w:val="clear" w:color="FFFFFF" w:fill="D9D9D9"/>
        </w:rPr>
      </w:pPr>
      <w:r w:rsidRPr="00D02ED3">
        <w:rPr>
          <w:rFonts w:ascii="仿宋" w:eastAsia="仿宋" w:hAnsi="仿宋" w:cs="仿宋" w:hint="eastAsia"/>
          <w:bCs/>
          <w:sz w:val="24"/>
        </w:rPr>
        <w:t>p、</w:t>
      </w:r>
      <w:r w:rsidRPr="00D02ED3">
        <w:rPr>
          <w:rFonts w:ascii="仿宋" w:eastAsia="仿宋" w:hAnsi="仿宋" w:cs="仿宋" w:hint="eastAsia"/>
          <w:bCs/>
          <w:sz w:val="24"/>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55B3A" w:rsidRPr="00D02ED3" w:rsidRDefault="00455B3A">
      <w:pPr>
        <w:spacing w:line="360" w:lineRule="auto"/>
        <w:ind w:firstLineChars="200" w:firstLine="480"/>
        <w:rPr>
          <w:rFonts w:ascii="仿宋" w:eastAsia="仿宋" w:hAnsi="仿宋" w:cs="仿宋" w:hint="eastAsia"/>
          <w:bCs/>
          <w:sz w:val="24"/>
        </w:rPr>
      </w:pPr>
      <w:r w:rsidRPr="00D02ED3">
        <w:rPr>
          <w:rFonts w:ascii="仿宋" w:eastAsia="仿宋" w:hAnsi="仿宋" w:cs="仿宋" w:hint="eastAsia"/>
          <w:bCs/>
          <w:sz w:val="24"/>
        </w:rPr>
        <w:t>q、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rsidR="00455B3A" w:rsidRPr="00D02ED3" w:rsidRDefault="00455B3A">
      <w:pPr>
        <w:spacing w:line="360" w:lineRule="auto"/>
        <w:ind w:firstLineChars="200" w:firstLine="480"/>
        <w:rPr>
          <w:rFonts w:ascii="仿宋" w:eastAsia="仿宋" w:hAnsi="仿宋" w:cs="仿宋" w:hint="eastAsia"/>
          <w:bCs/>
          <w:sz w:val="24"/>
        </w:rPr>
      </w:pPr>
      <w:r w:rsidRPr="00D02ED3">
        <w:rPr>
          <w:rFonts w:ascii="仿宋" w:eastAsia="仿宋" w:hAnsi="仿宋" w:cs="仿宋" w:hint="eastAsia"/>
          <w:bCs/>
          <w:sz w:val="24"/>
        </w:rPr>
        <w:t>r、本基金与私募类</w:t>
      </w:r>
      <w:proofErr w:type="gramStart"/>
      <w:r w:rsidRPr="00D02ED3">
        <w:rPr>
          <w:rFonts w:ascii="仿宋" w:eastAsia="仿宋" w:hAnsi="仿宋" w:cs="仿宋" w:hint="eastAsia"/>
          <w:bCs/>
          <w:sz w:val="24"/>
        </w:rPr>
        <w:t>证券资管产品</w:t>
      </w:r>
      <w:proofErr w:type="gramEnd"/>
      <w:r w:rsidRPr="00D02ED3">
        <w:rPr>
          <w:rFonts w:ascii="仿宋" w:eastAsia="仿宋" w:hAnsi="仿宋" w:cs="仿宋" w:hint="eastAsia"/>
          <w:bCs/>
          <w:sz w:val="24"/>
        </w:rPr>
        <w:t>及中国证监会认定的其他主体为交易对手开展逆回购交易的，可接受质押品的资质要求应当与基金合同约定的投资范围保持一致；</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s、法律法规及中国证监会规定的和《基金合同》约定的其他投资限制。</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基金管理人应当自基金合同生效之日起6个月内使基金的投资组合比例符</w:t>
      </w:r>
      <w:r w:rsidRPr="00D02ED3">
        <w:rPr>
          <w:rFonts w:ascii="仿宋" w:eastAsia="仿宋" w:hAnsi="仿宋" w:hint="eastAsia"/>
          <w:bCs/>
          <w:sz w:val="24"/>
        </w:rPr>
        <w:lastRenderedPageBreak/>
        <w:t>合基金合同的有关约定。期间，基金的投资范围、投资策略应当符合《基金合同》的约定。基金托管人对基金的投资的监督与检查自基金合同生效之日起开始。</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法律法规或监管部门取消上述限制，如适用于本基金，则本基金投资不再受相关限制，但须提前公告，不需要经基金份额持有人审议。</w:t>
      </w:r>
    </w:p>
    <w:p w:rsidR="00455B3A" w:rsidRPr="00D02ED3" w:rsidRDefault="00455B3A">
      <w:pPr>
        <w:spacing w:line="360" w:lineRule="auto"/>
        <w:ind w:firstLineChars="200" w:firstLine="480"/>
        <w:rPr>
          <w:rFonts w:ascii="仿宋" w:eastAsia="仿宋" w:hAnsi="仿宋" w:hint="eastAsia"/>
          <w:bCs/>
          <w:sz w:val="24"/>
        </w:rPr>
      </w:pPr>
      <w:r w:rsidRPr="00D02ED3">
        <w:rPr>
          <w:rFonts w:ascii="仿宋" w:eastAsia="仿宋" w:hAnsi="仿宋" w:hint="eastAsia"/>
          <w:bCs/>
          <w:sz w:val="24"/>
        </w:rPr>
        <w:t>因证券市场波动、上市公司合并、基金规模变动、股权分置改革中支付对价等基金管理人之外的因素致使基金投资比例不符合上述规定投资比例的，除上述b、l、q、r点的情形外，基金管理人应当在10个交易日内进行调整。法律法规另有规定的，从其规定。</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sz w:val="24"/>
        </w:rPr>
        <w:t>本基金持有证券期间，如发生证券处于流通受限状态等</w:t>
      </w:r>
      <w:proofErr w:type="gramStart"/>
      <w:r w:rsidRPr="00D02ED3">
        <w:rPr>
          <w:rFonts w:ascii="仿宋" w:eastAsia="仿宋" w:hAnsi="仿宋" w:hint="eastAsia"/>
          <w:bCs/>
          <w:sz w:val="24"/>
        </w:rPr>
        <w:t>非基金管理人原因</w:t>
      </w:r>
      <w:proofErr w:type="gramEnd"/>
      <w:r w:rsidRPr="00D02ED3">
        <w:rPr>
          <w:rFonts w:ascii="仿宋" w:eastAsia="仿宋" w:hAnsi="仿宋" w:hint="eastAsia"/>
          <w:bCs/>
          <w:sz w:val="24"/>
        </w:rPr>
        <w:t>导致基金投资比例不符合前述规定的，基金管理人应在上述情形消除后的10个交易日内调整完毕。法律法规另有规定的，从其规定。</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（三）基金托管人根据有关法律法规的规定及基金合同的约定，对本托管协议第十五条第（十二）</w:t>
      </w:r>
      <w:proofErr w:type="gramStart"/>
      <w:r w:rsidRPr="00D02ED3">
        <w:rPr>
          <w:rFonts w:ascii="仿宋" w:eastAsia="仿宋" w:hAnsi="仿宋" w:hint="eastAsia"/>
          <w:color w:val="000000"/>
          <w:sz w:val="24"/>
          <w:szCs w:val="24"/>
        </w:rPr>
        <w:t>款基金</w:t>
      </w:r>
      <w:proofErr w:type="gramEnd"/>
      <w:r w:rsidRPr="00D02ED3">
        <w:rPr>
          <w:rFonts w:ascii="仿宋" w:eastAsia="仿宋" w:hAnsi="仿宋" w:hint="eastAsia"/>
          <w:color w:val="000000"/>
          <w:sz w:val="24"/>
          <w:szCs w:val="24"/>
        </w:rPr>
        <w:t>投资禁止行为进行监督。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（四）基金托管人根据有关法律法规的规定及基金合同的约定，对基金管理人参与银行间债券市场进行监督。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在基金投资运作之前，按照规定的数据格式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55B3A" w:rsidRPr="00D02ED3" w:rsidRDefault="00455B3A">
      <w:pPr>
        <w:spacing w:line="336" w:lineRule="auto"/>
        <w:ind w:firstLineChars="200" w:firstLine="480"/>
        <w:rPr>
          <w:rFonts w:ascii="仿宋" w:eastAsia="仿宋" w:hAnsi="仿宋" w:hint="eastAsia"/>
          <w:color w:val="000000"/>
          <w:sz w:val="24"/>
          <w:szCs w:val="24"/>
        </w:rPr>
      </w:pPr>
      <w:r w:rsidRPr="00D02ED3">
        <w:rPr>
          <w:rFonts w:ascii="仿宋" w:eastAsia="仿宋" w:hAnsi="仿宋" w:hint="eastAsia"/>
          <w:color w:val="000000"/>
          <w:sz w:val="24"/>
          <w:szCs w:val="24"/>
        </w:rPr>
        <w:t>基金管理人负责对交易对手的资信控制，按银行间债券市场的交易规则进行</w:t>
      </w:r>
      <w:r w:rsidRPr="00D02ED3">
        <w:rPr>
          <w:rFonts w:ascii="仿宋" w:eastAsia="仿宋" w:hAnsi="仿宋" w:hint="eastAsia"/>
          <w:color w:val="000000"/>
          <w:sz w:val="24"/>
          <w:szCs w:val="24"/>
        </w:rPr>
        <w:lastRenderedPageBreak/>
        <w:t>交易，并承担交易对手不履行合同造成的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455B3A" w:rsidRPr="00D02ED3" w:rsidRDefault="00455B3A">
      <w:pPr>
        <w:spacing w:line="336"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（五）基金托管人根据有关法律法规的规定及基金合同的约定，对基金投资流通受限证券进行监督。</w:t>
      </w:r>
    </w:p>
    <w:p w:rsidR="00455B3A" w:rsidRPr="00D02ED3" w:rsidRDefault="00455B3A">
      <w:pPr>
        <w:spacing w:line="336" w:lineRule="auto"/>
        <w:ind w:firstLineChars="200" w:firstLine="480"/>
        <w:rPr>
          <w:rFonts w:ascii="仿宋" w:eastAsia="仿宋" w:hAnsi="仿宋"/>
          <w:color w:val="000000"/>
          <w:sz w:val="24"/>
          <w:szCs w:val="24"/>
        </w:rPr>
      </w:pPr>
      <w:r w:rsidRPr="00D02ED3">
        <w:rPr>
          <w:rFonts w:ascii="仿宋" w:eastAsia="仿宋" w:hAnsi="仿宋"/>
          <w:color w:val="000000"/>
          <w:sz w:val="24"/>
          <w:szCs w:val="24"/>
        </w:rPr>
        <w:t>1</w:t>
      </w:r>
      <w:r w:rsidRPr="00D02ED3">
        <w:rPr>
          <w:rFonts w:ascii="仿宋" w:eastAsia="仿宋" w:hAnsi="仿宋" w:hint="eastAsia"/>
          <w:color w:val="000000"/>
          <w:sz w:val="24"/>
          <w:szCs w:val="24"/>
        </w:rPr>
        <w:t>．基金投资流通受限证券，应遵守《关于规范基金投资非公开发行证券行为的紧急通知》、《关于基金投资非公开发行股票等流通受限证券有关问题的通知》等有关法律法规规定。</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color w:val="000000"/>
          <w:sz w:val="24"/>
          <w:szCs w:val="24"/>
        </w:rPr>
        <w:t>2</w:t>
      </w:r>
      <w:r w:rsidRPr="00D02ED3">
        <w:rPr>
          <w:rFonts w:ascii="仿宋" w:eastAsia="仿宋" w:hAnsi="仿宋" w:hint="eastAsia"/>
          <w:color w:val="000000"/>
          <w:sz w:val="24"/>
          <w:szCs w:val="24"/>
        </w:rPr>
        <w:t>．流通受限证券，包括由《上市公司证券发行管理办法》规范的非公开发行股票、公开发行股票网下配售部分等在发行时明确一定期限锁定期的可交易证券</w:t>
      </w:r>
      <w:r w:rsidRPr="00D02ED3">
        <w:rPr>
          <w:rFonts w:ascii="仿宋" w:eastAsia="仿宋" w:hAnsi="仿宋"/>
          <w:color w:val="000000"/>
          <w:sz w:val="24"/>
          <w:szCs w:val="24"/>
        </w:rPr>
        <w:t>,</w:t>
      </w:r>
      <w:r w:rsidRPr="00D02ED3">
        <w:rPr>
          <w:rFonts w:ascii="仿宋" w:eastAsia="仿宋" w:hAnsi="仿宋" w:hint="eastAsia"/>
          <w:color w:val="000000"/>
          <w:sz w:val="24"/>
          <w:szCs w:val="24"/>
        </w:rPr>
        <w:t>不包括由于发布重大消息或其他原因而临时停牌的证券、已发行未上市证券、回购交易中的质押</w:t>
      </w:r>
      <w:proofErr w:type="gramStart"/>
      <w:r w:rsidRPr="00D02ED3">
        <w:rPr>
          <w:rFonts w:ascii="仿宋" w:eastAsia="仿宋" w:hAnsi="仿宋" w:hint="eastAsia"/>
          <w:color w:val="000000"/>
          <w:sz w:val="24"/>
          <w:szCs w:val="24"/>
        </w:rPr>
        <w:t>券</w:t>
      </w:r>
      <w:proofErr w:type="gramEnd"/>
      <w:r w:rsidRPr="00D02ED3">
        <w:rPr>
          <w:rFonts w:ascii="仿宋" w:eastAsia="仿宋" w:hAnsi="仿宋" w:hint="eastAsia"/>
          <w:color w:val="000000"/>
          <w:sz w:val="24"/>
          <w:szCs w:val="24"/>
        </w:rPr>
        <w:t>等流通受限证券。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color w:val="000000"/>
          <w:sz w:val="24"/>
          <w:szCs w:val="24"/>
        </w:rPr>
        <w:t>3</w:t>
      </w:r>
      <w:r w:rsidRPr="00D02ED3">
        <w:rPr>
          <w:rFonts w:ascii="仿宋" w:eastAsia="仿宋" w:hAnsi="仿宋" w:hint="eastAsia"/>
          <w:color w:val="000000"/>
          <w:sz w:val="24"/>
          <w:szCs w:val="24"/>
        </w:rPr>
        <w:t>．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上述规章制度须经基金管理人董事会批准。上述规章制度经董事会通过之后，基金管理人应至少</w:t>
      </w:r>
      <w:proofErr w:type="gramStart"/>
      <w:r w:rsidRPr="00D02ED3">
        <w:rPr>
          <w:rFonts w:ascii="仿宋" w:eastAsia="仿宋" w:hAnsi="仿宋" w:hint="eastAsia"/>
          <w:color w:val="000000"/>
          <w:sz w:val="24"/>
          <w:szCs w:val="24"/>
        </w:rPr>
        <w:t>于首次</w:t>
      </w:r>
      <w:proofErr w:type="gramEnd"/>
      <w:r w:rsidRPr="00D02ED3">
        <w:rPr>
          <w:rFonts w:ascii="仿宋" w:eastAsia="仿宋" w:hAnsi="仿宋" w:hint="eastAsia"/>
          <w:color w:val="000000"/>
          <w:sz w:val="24"/>
          <w:szCs w:val="24"/>
        </w:rPr>
        <w:t>投资流通受限证券之前两个工作日将上述资料书面发至基金托管人，保证基金托管人有足够的时间进行审核。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color w:val="000000"/>
          <w:sz w:val="24"/>
          <w:szCs w:val="24"/>
        </w:rPr>
        <w:t>4</w:t>
      </w:r>
      <w:r w:rsidRPr="00D02ED3">
        <w:rPr>
          <w:rFonts w:ascii="仿宋" w:eastAsia="仿宋" w:hAnsi="仿宋" w:hint="eastAsia"/>
          <w:color w:val="000000"/>
          <w:sz w:val="24"/>
          <w:szCs w:val="24"/>
        </w:rPr>
        <w:t>．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color w:val="000000"/>
          <w:sz w:val="24"/>
          <w:szCs w:val="24"/>
        </w:rPr>
        <w:t xml:space="preserve">5. </w:t>
      </w:r>
      <w:r w:rsidRPr="00D02ED3">
        <w:rPr>
          <w:rFonts w:ascii="仿宋" w:eastAsia="仿宋" w:hAnsi="仿宋" w:hint="eastAsia"/>
          <w:color w:val="000000"/>
          <w:sz w:val="24"/>
          <w:szCs w:val="24"/>
        </w:rPr>
        <w:t>基金投资流通受限证券，基金管理人应根据本协议的规定与基金托管银行签订风险控制补充协议。协议应包括基金托管人对于基金管理人是否遵守相关</w:t>
      </w:r>
      <w:r w:rsidRPr="00D02ED3">
        <w:rPr>
          <w:rFonts w:ascii="仿宋" w:eastAsia="仿宋" w:hAnsi="仿宋" w:hint="eastAsia"/>
          <w:color w:val="000000"/>
          <w:sz w:val="24"/>
          <w:szCs w:val="24"/>
        </w:rPr>
        <w:lastRenderedPageBreak/>
        <w:t>制度、流动性风险处置预案以及相关投资额度和比例的情况进行监督等内容。</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color w:val="000000"/>
          <w:sz w:val="24"/>
          <w:szCs w:val="24"/>
        </w:rPr>
        <w:t>6</w:t>
      </w:r>
      <w:r w:rsidRPr="00D02ED3">
        <w:rPr>
          <w:rFonts w:ascii="仿宋" w:eastAsia="仿宋" w:hAnsi="仿宋" w:hint="eastAsia"/>
          <w:color w:val="000000"/>
          <w:sz w:val="24"/>
          <w:szCs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455B3A" w:rsidRPr="00D02ED3" w:rsidRDefault="00455B3A">
      <w:pPr>
        <w:spacing w:line="360" w:lineRule="auto"/>
        <w:ind w:firstLineChars="200" w:firstLine="480"/>
        <w:rPr>
          <w:rFonts w:ascii="仿宋" w:eastAsia="仿宋" w:hAnsi="仿宋" w:hint="eastAsia"/>
          <w:color w:val="000000"/>
          <w:sz w:val="24"/>
          <w:szCs w:val="24"/>
        </w:rPr>
      </w:pPr>
      <w:r w:rsidRPr="00D02ED3">
        <w:rPr>
          <w:rFonts w:ascii="仿宋" w:eastAsia="仿宋" w:hAnsi="仿宋"/>
          <w:color w:val="000000"/>
          <w:sz w:val="24"/>
          <w:szCs w:val="24"/>
        </w:rPr>
        <w:t>7</w:t>
      </w:r>
      <w:r w:rsidRPr="00D02ED3">
        <w:rPr>
          <w:rFonts w:ascii="仿宋" w:eastAsia="仿宋" w:hAnsi="仿宋" w:hint="eastAsia"/>
          <w:color w:val="000000"/>
          <w:sz w:val="24"/>
          <w:szCs w:val="24"/>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六）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七）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rsidR="00455B3A" w:rsidRPr="00D02ED3" w:rsidRDefault="00455B3A">
      <w:pPr>
        <w:spacing w:line="360" w:lineRule="auto"/>
        <w:ind w:firstLineChars="200" w:firstLine="480"/>
        <w:rPr>
          <w:rFonts w:ascii="仿宋" w:eastAsia="仿宋" w:hAnsi="仿宋" w:hint="eastAsia"/>
          <w:color w:val="000000"/>
          <w:sz w:val="24"/>
          <w:szCs w:val="24"/>
        </w:rPr>
      </w:pPr>
      <w:r w:rsidRPr="00D02ED3">
        <w:rPr>
          <w:rFonts w:ascii="仿宋" w:eastAsia="仿宋" w:hAnsi="仿宋" w:hint="eastAsia"/>
          <w:color w:val="000000"/>
          <w:sz w:val="24"/>
          <w:szCs w:val="24"/>
        </w:rPr>
        <w:t>（八）基金管理人投资中小企业</w:t>
      </w:r>
      <w:proofErr w:type="gramStart"/>
      <w:r w:rsidRPr="00D02ED3">
        <w:rPr>
          <w:rFonts w:ascii="仿宋" w:eastAsia="仿宋" w:hAnsi="仿宋" w:hint="eastAsia"/>
          <w:color w:val="000000"/>
          <w:sz w:val="24"/>
          <w:szCs w:val="24"/>
        </w:rPr>
        <w:t>私募债应符合</w:t>
      </w:r>
      <w:proofErr w:type="gramEnd"/>
      <w:r w:rsidRPr="00D02ED3">
        <w:rPr>
          <w:rFonts w:ascii="仿宋" w:eastAsia="仿宋" w:hAnsi="仿宋" w:hint="eastAsia"/>
          <w:color w:val="000000"/>
          <w:sz w:val="24"/>
          <w:szCs w:val="24"/>
        </w:rPr>
        <w:t>相关法律法规约定。基金管理人应根据本协议的规定与基金托管人签订投资中小企业私募</w:t>
      </w:r>
      <w:proofErr w:type="gramStart"/>
      <w:r w:rsidRPr="00D02ED3">
        <w:rPr>
          <w:rFonts w:ascii="仿宋" w:eastAsia="仿宋" w:hAnsi="仿宋" w:hint="eastAsia"/>
          <w:color w:val="000000"/>
          <w:sz w:val="24"/>
          <w:szCs w:val="24"/>
        </w:rPr>
        <w:t>债风险</w:t>
      </w:r>
      <w:proofErr w:type="gramEnd"/>
      <w:r w:rsidRPr="00D02ED3">
        <w:rPr>
          <w:rFonts w:ascii="仿宋" w:eastAsia="仿宋" w:hAnsi="仿宋" w:hint="eastAsia"/>
          <w:color w:val="000000"/>
          <w:sz w:val="24"/>
          <w:szCs w:val="24"/>
        </w:rPr>
        <w:t>控制补充协议。基金管理人在投资中小企业私募债前，应向基金托管人提供经资产管理人董事会批准的投资中小企业私募债券的相关制度。在投资中小企业私募债券的过程中，基金管理人应合</w:t>
      </w:r>
      <w:proofErr w:type="gramStart"/>
      <w:r w:rsidRPr="00D02ED3">
        <w:rPr>
          <w:rFonts w:ascii="仿宋" w:eastAsia="仿宋" w:hAnsi="仿宋" w:hint="eastAsia"/>
          <w:color w:val="000000"/>
          <w:sz w:val="24"/>
          <w:szCs w:val="24"/>
        </w:rPr>
        <w:t>理控制</w:t>
      </w:r>
      <w:proofErr w:type="gramEnd"/>
      <w:r w:rsidRPr="00D02ED3">
        <w:rPr>
          <w:rFonts w:ascii="仿宋" w:eastAsia="仿宋" w:hAnsi="仿宋" w:hint="eastAsia"/>
          <w:color w:val="000000"/>
          <w:sz w:val="24"/>
          <w:szCs w:val="24"/>
        </w:rPr>
        <w:t>投资中小企业私募债的比例。基金托管人按照补充协议中的约定对相关投资进行监督和审核。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（九）基金托管人根据有关法律法规的规定及基金合同的约定，对基金资产净值计算、基金份额净值计算、应收资金到账、基金费用开支及收入确定、基金</w:t>
      </w:r>
      <w:r w:rsidRPr="00D02ED3">
        <w:rPr>
          <w:rFonts w:ascii="仿宋" w:eastAsia="仿宋" w:hAnsi="仿宋" w:hint="eastAsia"/>
          <w:color w:val="000000"/>
          <w:sz w:val="24"/>
          <w:szCs w:val="24"/>
        </w:rPr>
        <w:lastRenderedPageBreak/>
        <w:t>收益分配、相关信息披露、基金宣传推介材料中登载基金业绩表现数据等进行监督和核查。</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（十）基金托管人发现基金管理人的上述事项及投资指令或实际投资运作违反法律法规、基金合同和本托管协议的规定，应及时以电话提醒或书面提示等方式通知基金管理人限期纠正。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（十一）基金管理人有义务配合和协助基金托管人依照法律法规、基金合同和本托管协议对基金业务执行核查。</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（十二）</w:t>
      </w:r>
      <w:proofErr w:type="gramStart"/>
      <w:r w:rsidRPr="00D02ED3">
        <w:rPr>
          <w:rFonts w:ascii="仿宋" w:eastAsia="仿宋" w:hAnsi="仿宋" w:hint="eastAsia"/>
          <w:color w:val="000000"/>
          <w:sz w:val="24"/>
          <w:szCs w:val="24"/>
        </w:rPr>
        <w:t>若基金</w:t>
      </w:r>
      <w:proofErr w:type="gramEnd"/>
      <w:r w:rsidRPr="00D02ED3">
        <w:rPr>
          <w:rFonts w:ascii="仿宋" w:eastAsia="仿宋" w:hAnsi="仿宋" w:hint="eastAsia"/>
          <w:color w:val="000000"/>
          <w:sz w:val="24"/>
          <w:szCs w:val="24"/>
        </w:rPr>
        <w:t>托管人发现基金管理人依据交易程序已经生效的指令违反法律、行政法规和其他有关规定，或者违反基金合同约定的，应当立即通知基金管理人。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（十三）基金托管人发现基金管理人有重大违规行为，应及时报告中国证监会，同时通知基金管理人限期纠正，并将纠正结果报告中国证监会。</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19" w:name="_Toc264617144"/>
      <w:r w:rsidRPr="00D02ED3">
        <w:rPr>
          <w:rFonts w:ascii="仿宋" w:eastAsia="仿宋" w:hAnsi="仿宋" w:hint="eastAsia"/>
          <w:sz w:val="30"/>
          <w:szCs w:val="30"/>
        </w:rPr>
        <w:lastRenderedPageBreak/>
        <w:t>四、基金管理人对基金托管人的业务核查</w:t>
      </w:r>
      <w:bookmarkEnd w:id="19"/>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D02ED3">
        <w:rPr>
          <w:rFonts w:ascii="仿宋" w:eastAsia="仿宋" w:hAnsi="仿宋" w:hint="eastAsia"/>
          <w:color w:val="000000"/>
          <w:sz w:val="24"/>
          <w:szCs w:val="24"/>
        </w:rPr>
        <w:t>供基金</w:t>
      </w:r>
      <w:proofErr w:type="gramEnd"/>
      <w:r w:rsidRPr="00D02ED3">
        <w:rPr>
          <w:rFonts w:ascii="仿宋" w:eastAsia="仿宋" w:hAnsi="仿宋" w:hint="eastAsia"/>
          <w:color w:val="000000"/>
          <w:sz w:val="24"/>
          <w:szCs w:val="24"/>
        </w:rPr>
        <w:t>管理人核查托管财产的完整性和真实性，在规定时间内答复基金管理人并改正。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（三）基金管理人发现基金托管人有重大违规行为，应及时报告中国证监会，同时通知基金托管人限期纠正，并将纠正结果报告中国证监会。</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rsidR="00455B3A" w:rsidRPr="00D02ED3" w:rsidRDefault="00455B3A">
      <w:pPr>
        <w:spacing w:line="360" w:lineRule="auto"/>
        <w:ind w:firstLineChars="200" w:firstLine="480"/>
        <w:rPr>
          <w:rFonts w:ascii="仿宋" w:eastAsia="仿宋" w:hAnsi="仿宋"/>
          <w:color w:val="000000"/>
          <w:sz w:val="24"/>
          <w:szCs w:val="24"/>
        </w:rPr>
      </w:pP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20" w:name="_Toc264617145"/>
      <w:r w:rsidRPr="00D02ED3">
        <w:rPr>
          <w:rFonts w:ascii="仿宋" w:eastAsia="仿宋" w:hAnsi="仿宋" w:hint="eastAsia"/>
          <w:color w:val="000000"/>
        </w:rPr>
        <w:lastRenderedPageBreak/>
        <w:t>五、基金财产的保管</w:t>
      </w:r>
      <w:bookmarkEnd w:id="20"/>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（一）基金财产保管的原则</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1．基金财产应独立于基金管理人、基金托管人的固有财产；</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2．基金托管人应安全保管基金财产；</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3．基金托管人按照规定开设基金财产的资金账户和证券账户；</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4．基金托管人对所托管的不同基金财产分别设置账户，确保基金财产的完整与独立； </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5．基金托管人根据基金管理人的指令，按照基金合同和本协议的约定保管基金财产，如有特殊情况双方可另行协商解决；</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7．除依据法律法规和基金合同的规定外，基金托管人不得委托第三人托管基金财产。</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（二）基金募集期间及募集资金的验资</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1．基金募集期间募集的资金应存于基金管理人开立的“基金募集专户”。该账户由基金管理人开立并管理。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2名或2名以上中国注册会计师签字方为有效。</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w:t>
      </w:r>
      <w:proofErr w:type="gramStart"/>
      <w:r w:rsidRPr="00D02ED3">
        <w:rPr>
          <w:rFonts w:ascii="仿宋" w:eastAsia="仿宋" w:hAnsi="仿宋" w:hint="eastAsia"/>
          <w:color w:val="000000"/>
          <w:sz w:val="24"/>
          <w:szCs w:val="24"/>
        </w:rPr>
        <w:t>若基金</w:t>
      </w:r>
      <w:proofErr w:type="gramEnd"/>
      <w:r w:rsidRPr="00D02ED3">
        <w:rPr>
          <w:rFonts w:ascii="仿宋" w:eastAsia="仿宋" w:hAnsi="仿宋" w:hint="eastAsia"/>
          <w:color w:val="000000"/>
          <w:sz w:val="24"/>
          <w:szCs w:val="24"/>
        </w:rPr>
        <w:t>募集期限届满，未能达到基金合同生效的条件，由基金管理人按规定办理退款等事宜。</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w:t>
      </w:r>
      <w:r w:rsidRPr="00D02ED3">
        <w:rPr>
          <w:rFonts w:ascii="仿宋" w:eastAsia="仿宋" w:hAnsi="仿宋" w:cs="宋体" w:hint="eastAsia"/>
          <w:color w:val="000000"/>
          <w:sz w:val="24"/>
          <w:szCs w:val="24"/>
        </w:rPr>
        <w:t>基金托管专户</w:t>
      </w:r>
      <w:r w:rsidRPr="00D02ED3">
        <w:rPr>
          <w:rFonts w:ascii="仿宋" w:eastAsia="仿宋" w:hAnsi="仿宋" w:hint="eastAsia"/>
          <w:color w:val="000000"/>
          <w:sz w:val="24"/>
          <w:szCs w:val="24"/>
        </w:rPr>
        <w:t>的开立和管理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基金托管专户的名称:</w:t>
      </w:r>
      <w:r w:rsidRPr="00D02ED3">
        <w:rPr>
          <w:rFonts w:ascii="仿宋" w:eastAsia="仿宋" w:hAnsi="仿宋" w:hint="eastAsia"/>
          <w:color w:val="000000"/>
          <w:sz w:val="24"/>
        </w:rPr>
        <w:t>财通多策略精选混合型证券投资基金(LOF)</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托管账户开户行:中国光大银行上海分行营业室</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lastRenderedPageBreak/>
        <w:t>1．基金托管人以基金的名义在其营业机构开设基金托管专户，保管基金的银行存款。本基金的一切货币收支活动，包括但不限于投资、支付赎回金额、支付基金收益、收取申购款，均需通过基金托管专户进行。</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3．基金托管专户的开立和管理应符合有关法律法规以及银行业监督管理机构的其他有关规定。</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（四）基金证券账户和结算备付金账户的开立和管理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1．基金托管人在中国证券登记结算有限责任公司上海分公司、深圳分公司为基金开立基金托管人与基金联名的证券账户。</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3．基金证券账户的开立和证券账户卡的保管由基金托管人负责，账户资产的管理和运用由基金管理人负责。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5．若中国证监会或其他监管机构在本托管协议订立日之后允许基金从事其他投资品种的投资业务，涉及相关账户的开立、使用的，若无相关规定，</w:t>
      </w:r>
      <w:proofErr w:type="gramStart"/>
      <w:r w:rsidRPr="00D02ED3">
        <w:rPr>
          <w:rFonts w:ascii="仿宋" w:eastAsia="仿宋" w:hAnsi="仿宋" w:hint="eastAsia"/>
          <w:color w:val="000000"/>
          <w:sz w:val="24"/>
          <w:szCs w:val="24"/>
        </w:rPr>
        <w:t>则基金</w:t>
      </w:r>
      <w:proofErr w:type="gramEnd"/>
      <w:r w:rsidRPr="00D02ED3">
        <w:rPr>
          <w:rFonts w:ascii="仿宋" w:eastAsia="仿宋" w:hAnsi="仿宋" w:hint="eastAsia"/>
          <w:color w:val="000000"/>
          <w:sz w:val="24"/>
          <w:szCs w:val="24"/>
        </w:rPr>
        <w:t>托管人比照上述关于账户开立、使用的规定执行。</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（五）银行间债券托管专户的开设和管理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合同生效后，基金管理人负责以基金的名义申请并取得进入全国银行间同业拆借市场的交易资格，并代表基金进行交易；基金托管人负责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托</w:t>
      </w:r>
      <w:r w:rsidRPr="00D02ED3">
        <w:rPr>
          <w:rFonts w:ascii="仿宋" w:eastAsia="仿宋" w:hAnsi="仿宋" w:hint="eastAsia"/>
          <w:color w:val="000000"/>
          <w:sz w:val="24"/>
          <w:szCs w:val="24"/>
        </w:rPr>
        <w:lastRenderedPageBreak/>
        <w:t>管人保管协议正本，基金管理人保存协议副本。</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（六）其他账户的开立和管理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（七）基金财产投资的有关有价凭证等的保管</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财产投资的有关实物证券等有价凭证由基金托管人存放于基金托管人的保管库，也可存入中央国债登记结算有限责任公司、中国证券登记结算有限责任公司上海分公司/深圳分公司、银行间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（八）与基金财产有关的重大合同的保管</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对于无法取得二份以上正本的，基金管理人应向基金托管人提供与合同原件核对一致的加盖公章的合同传真件，未经双方协商一致或未在合同约定范围内，合同原件不得转移。</w:t>
      </w:r>
    </w:p>
    <w:p w:rsidR="00455B3A" w:rsidRPr="00D02ED3" w:rsidRDefault="00455B3A">
      <w:pPr>
        <w:spacing w:line="360" w:lineRule="auto"/>
        <w:ind w:firstLineChars="200" w:firstLine="480"/>
        <w:rPr>
          <w:rFonts w:ascii="仿宋" w:eastAsia="仿宋" w:hAnsi="仿宋"/>
          <w:color w:val="000000"/>
          <w:sz w:val="24"/>
          <w:szCs w:val="24"/>
        </w:rPr>
      </w:pPr>
    </w:p>
    <w:p w:rsidR="00455B3A" w:rsidRPr="00D02ED3" w:rsidRDefault="00455B3A">
      <w:pPr>
        <w:spacing w:line="360" w:lineRule="auto"/>
        <w:ind w:firstLineChars="200" w:firstLine="480"/>
        <w:rPr>
          <w:rFonts w:ascii="仿宋" w:eastAsia="仿宋" w:hAnsi="仿宋"/>
          <w:color w:val="000000"/>
          <w:sz w:val="24"/>
          <w:szCs w:val="24"/>
        </w:rPr>
      </w:pPr>
    </w:p>
    <w:p w:rsidR="00455B3A" w:rsidRPr="00D02ED3" w:rsidRDefault="00455B3A">
      <w:pPr>
        <w:pStyle w:val="2"/>
        <w:spacing w:line="360" w:lineRule="auto"/>
        <w:jc w:val="center"/>
        <w:rPr>
          <w:rFonts w:ascii="仿宋" w:eastAsia="仿宋" w:hAnsi="仿宋"/>
          <w:color w:val="000000"/>
        </w:rPr>
      </w:pPr>
      <w:bookmarkStart w:id="21" w:name="_Toc264617146"/>
      <w:r w:rsidRPr="00D02ED3">
        <w:rPr>
          <w:rFonts w:ascii="仿宋" w:eastAsia="仿宋" w:hAnsi="仿宋" w:hint="eastAsia"/>
          <w:color w:val="000000"/>
        </w:rPr>
        <w:lastRenderedPageBreak/>
        <w:t>六、指令的发送、确认及执行</w:t>
      </w:r>
      <w:bookmarkEnd w:id="21"/>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基金管理人在运用基金财产时向基金托管人发送资金划拨及其他款项付款指令，基金托管人执行基金管理人的指令、办理基金名下的资金往来等有关事项。</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（一）基金管理人对发送指令人员的书面授权</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1．基金管理人应指定专人向基金托管人发送指令。</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2．基金管理人应向基金托管人提供书面授权文件，内容包括被授权人名单、预留印鉴及被授权人签字样本，授权文件应注明被授权人相应的权限。</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基金托管人在收到授权文件原件并经基金管理人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4．基金管理人和基金托管人对授权文件负有保密义务，其内容不得向被授权人及相关操作人员以外的任何人泄漏。但法律法规规定或有权机关要求的除外。</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（二）指令的内容</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1．指令包括赎回、分红付款指令、回购到期付款指令、与投资有关的付款指令、实物债券出入库指令以及其他资金划拨指令等。</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2．基金管理人发给基金托管人的指令应写明款项事由、支付时间、到账时间、金额、账户等，加盖预留印鉴并由被授权人签字或盖章。</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（三）指令的发送、确认及执行的时间和程序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1．指令的发送</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基金管理人发送指令用深</w:t>
      </w:r>
      <w:proofErr w:type="gramStart"/>
      <w:r w:rsidRPr="00D02ED3">
        <w:rPr>
          <w:rFonts w:ascii="仿宋" w:eastAsia="仿宋" w:hAnsi="仿宋" w:hint="eastAsia"/>
          <w:color w:val="000000"/>
          <w:sz w:val="24"/>
          <w:szCs w:val="24"/>
        </w:rPr>
        <w:t>证通或托管网银</w:t>
      </w:r>
      <w:proofErr w:type="gramEnd"/>
      <w:r w:rsidRPr="00D02ED3">
        <w:rPr>
          <w:rFonts w:ascii="仿宋" w:eastAsia="仿宋" w:hAnsi="仿宋" w:hint="eastAsia"/>
          <w:color w:val="000000"/>
          <w:sz w:val="24"/>
          <w:szCs w:val="24"/>
        </w:rPr>
        <w:t>电子指令方式或传真的方式向资产托管人发送，传真为备份方式。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lastRenderedPageBreak/>
        <w:t>指令发出后，基金管理人应及时以电话方式向基金托管人确认。</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455B3A" w:rsidRPr="00D02ED3" w:rsidRDefault="00455B3A">
      <w:pPr>
        <w:spacing w:line="360" w:lineRule="auto"/>
        <w:ind w:firstLineChars="200" w:firstLine="480"/>
        <w:rPr>
          <w:rFonts w:ascii="仿宋" w:eastAsia="仿宋" w:hAnsi="仿宋"/>
          <w:color w:val="000000"/>
          <w:sz w:val="24"/>
          <w:szCs w:val="24"/>
          <w:shd w:val="pct10" w:color="auto" w:fill="FFFFFF"/>
        </w:rPr>
      </w:pPr>
      <w:r w:rsidRPr="00D02ED3">
        <w:rPr>
          <w:rFonts w:ascii="仿宋" w:eastAsia="仿宋" w:hAnsi="仿宋" w:hint="eastAsia"/>
          <w:color w:val="000000"/>
          <w:sz w:val="24"/>
          <w:szCs w:val="24"/>
        </w:rPr>
        <w:t>基金管理人应于划款前一日向基金托管人发送投资划款指令并确认，如需在划款当日下达投资划款指令，在发送指令时，应为基金托管人留出执行指令所必需的时间</w:t>
      </w:r>
      <w:r w:rsidRPr="00D02ED3">
        <w:rPr>
          <w:rFonts w:ascii="仿宋" w:eastAsia="仿宋" w:hAnsi="仿宋" w:hint="eastAsia"/>
          <w:color w:val="000000"/>
          <w:sz w:val="24"/>
        </w:rPr>
        <w:t>（该必需的时间不长于正常情况下基金托管人日常处理该指令所用的平均时间）</w:t>
      </w:r>
      <w:r w:rsidRPr="00D02ED3">
        <w:rPr>
          <w:rFonts w:ascii="仿宋" w:eastAsia="仿宋" w:hAnsi="仿宋" w:hint="eastAsia"/>
          <w:color w:val="000000"/>
          <w:sz w:val="24"/>
          <w:szCs w:val="24"/>
        </w:rPr>
        <w:t>。基金管理人发送有效指令（包括原指令被撤销、变更后再次发送的新指令）的截止时间为当天的15:00。如基金管理人要求当天某一时点到账，则交易结算指令需提前2个工作小时发送，并进行电话确认。对于新股申购网下公开发行业务，基金管理人应在网下申购缴款日(T日)的前一日17:00前将新股申购指令发送给基金托管人，指令发送时间最迟不应晚于T日上午10:00时。对上海证券交易所的认购权证行权交易，基金管理人应于行权日15:00前将需要交付的行权金额及费用书面通知基金托管人，基金托管人在16:00前支付</w:t>
      </w:r>
      <w:proofErr w:type="gramStart"/>
      <w:r w:rsidRPr="00D02ED3">
        <w:rPr>
          <w:rFonts w:ascii="仿宋" w:eastAsia="仿宋" w:hAnsi="仿宋" w:hint="eastAsia"/>
          <w:color w:val="000000"/>
          <w:sz w:val="24"/>
          <w:szCs w:val="24"/>
        </w:rPr>
        <w:t>至登记</w:t>
      </w:r>
      <w:proofErr w:type="gramEnd"/>
      <w:r w:rsidRPr="00D02ED3">
        <w:rPr>
          <w:rFonts w:ascii="仿宋" w:eastAsia="仿宋" w:hAnsi="仿宋" w:hint="eastAsia"/>
          <w:color w:val="000000"/>
          <w:sz w:val="24"/>
          <w:szCs w:val="24"/>
        </w:rPr>
        <w:t>结算公司指定账户。由于基金管理</w:t>
      </w:r>
      <w:proofErr w:type="gramStart"/>
      <w:r w:rsidRPr="00D02ED3">
        <w:rPr>
          <w:rFonts w:ascii="仿宋" w:eastAsia="仿宋" w:hAnsi="仿宋" w:hint="eastAsia"/>
          <w:color w:val="000000"/>
          <w:sz w:val="24"/>
          <w:szCs w:val="24"/>
        </w:rPr>
        <w:t>人原因</w:t>
      </w:r>
      <w:proofErr w:type="gramEnd"/>
      <w:r w:rsidRPr="00D02ED3">
        <w:rPr>
          <w:rFonts w:ascii="仿宋" w:eastAsia="仿宋" w:hAnsi="仿宋" w:hint="eastAsia"/>
          <w:color w:val="000000"/>
          <w:sz w:val="24"/>
          <w:szCs w:val="24"/>
        </w:rPr>
        <w:t>导致的指令传输不及时、未能留出足够的划款时间，致使资金未能及时到账所造成的损失由基金管理人承担。</w:t>
      </w:r>
      <w:r w:rsidRPr="00D02ED3">
        <w:rPr>
          <w:rFonts w:ascii="仿宋" w:eastAsia="仿宋" w:hAnsi="仿宋" w:hint="eastAsia"/>
          <w:color w:val="000000"/>
          <w:sz w:val="24"/>
        </w:rPr>
        <w:t>由于基金托管</w:t>
      </w:r>
      <w:proofErr w:type="gramStart"/>
      <w:r w:rsidRPr="00D02ED3">
        <w:rPr>
          <w:rFonts w:ascii="仿宋" w:eastAsia="仿宋" w:hAnsi="仿宋" w:hint="eastAsia"/>
          <w:color w:val="000000"/>
          <w:sz w:val="24"/>
        </w:rPr>
        <w:t>人原因</w:t>
      </w:r>
      <w:proofErr w:type="gramEnd"/>
      <w:r w:rsidRPr="00D02ED3">
        <w:rPr>
          <w:rFonts w:ascii="仿宋" w:eastAsia="仿宋" w:hAnsi="仿宋" w:hint="eastAsia"/>
          <w:color w:val="000000"/>
          <w:sz w:val="24"/>
        </w:rPr>
        <w:t>导致资金未能及时到账所造成的损失由基金托管人承担。</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2．指令的确认</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3．指令的时间和执行</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基金托管人对指令验证后，应及时办理。指令执行完毕后，基金托管人应及时通知基金管理人。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由基金管理人审核、查明原因，出具书面文件确认此交易指令无效。基金托管人不</w:t>
      </w:r>
      <w:r w:rsidRPr="00D02ED3">
        <w:rPr>
          <w:rFonts w:ascii="仿宋" w:eastAsia="仿宋" w:hAnsi="仿宋" w:hint="eastAsia"/>
          <w:color w:val="000000"/>
          <w:sz w:val="24"/>
          <w:szCs w:val="24"/>
        </w:rPr>
        <w:lastRenderedPageBreak/>
        <w:t>承担因未执行该指令造成损失的责任。</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（四）基金管理人发送错误指令的情形和处理程序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基金管理人发送错误指令的情形包括指令违反法律法规和基金合同，指令发送人员无权或超越权限发送指令。</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基金托管人在履行监督职能时，发现基金管理人的指令错误时，有权拒绝执行，并及时通知基金管理人改正。如需撤销指令，基金管理人应出具书面说明，并加盖业务用章。</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（五）基金托管人依照法律法规暂缓、拒绝执行指令的情形和处理程序</w:t>
      </w:r>
    </w:p>
    <w:p w:rsidR="00455B3A" w:rsidRPr="00D02ED3" w:rsidRDefault="00455B3A">
      <w:pPr>
        <w:spacing w:line="360" w:lineRule="auto"/>
        <w:ind w:firstLineChars="200" w:firstLine="480"/>
        <w:rPr>
          <w:rFonts w:ascii="仿宋" w:eastAsia="仿宋" w:hAnsi="仿宋"/>
          <w:color w:val="000000"/>
          <w:sz w:val="24"/>
          <w:szCs w:val="24"/>
        </w:rPr>
      </w:pPr>
      <w:proofErr w:type="gramStart"/>
      <w:r w:rsidRPr="00D02ED3">
        <w:rPr>
          <w:rFonts w:ascii="仿宋" w:eastAsia="仿宋" w:hAnsi="仿宋" w:hint="eastAsia"/>
          <w:color w:val="000000"/>
          <w:sz w:val="24"/>
          <w:szCs w:val="24"/>
        </w:rPr>
        <w:t>若基金</w:t>
      </w:r>
      <w:proofErr w:type="gramEnd"/>
      <w:r w:rsidRPr="00D02ED3">
        <w:rPr>
          <w:rFonts w:ascii="仿宋" w:eastAsia="仿宋" w:hAnsi="仿宋" w:hint="eastAsia"/>
          <w:color w:val="000000"/>
          <w:sz w:val="24"/>
          <w:szCs w:val="24"/>
        </w:rPr>
        <w:t>托管人发现基金管理人的指令违反法律法规，或者违反基金合同约定的，应当视情况暂缓或拒绝执行，并立即通知基金管理人。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（六）基金托管人未按照基金管理人指令执行的处理方法</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基金托管人由于自身原因，未按照基金管理人发送的指令执行并对基金管理人、基金财产或投资人造成的损失，由基金托管人承担相应的责任。</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（七）更换被授权人员的程序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更换被授权人、更改或终止对被授权人的授权，应当至少提前一个工作日通知基金托管人，同时基金管理人向基金托管人提供新的被授权人的姓名、权限、预留印鉴和签字样本。基金托管人在收到授权文件原件并经电话与基金管理人确认后，授权文件即生效。被授权人变更通知生效前，基金托管人仍应按原约定执行指令，基金管理人不得否认其效力。</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基金托管人更换接受基金管理人指令的人员，应提前书面通知基金管理人并电话确认。</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（八）其他事项</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在接收指令时，应对指令的要素是否齐全、印鉴与被授权人是否与预留的授权文件内容相符进行检查，如发现问题，应及时报告基金管理人。基金托管人对正确执行基金管理人的合法指令对基金财产造成的损失不承担赔偿责任；基金托管人未执行或未及时执行基金管理人的合法指令，导致基金财产遭受损失的，由基金托管人赔偿由此造成的直接损失。</w:t>
      </w:r>
    </w:p>
    <w:p w:rsidR="00455B3A" w:rsidRPr="00D02ED3" w:rsidRDefault="00455B3A">
      <w:pPr>
        <w:spacing w:line="360" w:lineRule="auto"/>
        <w:ind w:firstLineChars="200" w:firstLine="480"/>
        <w:rPr>
          <w:rFonts w:ascii="仿宋" w:eastAsia="仿宋" w:hAnsi="仿宋"/>
          <w:color w:val="000000"/>
          <w:sz w:val="24"/>
          <w:szCs w:val="24"/>
        </w:rPr>
      </w:pP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22" w:name="_Toc264617147"/>
      <w:r w:rsidRPr="00D02ED3">
        <w:rPr>
          <w:rFonts w:ascii="仿宋" w:eastAsia="仿宋" w:hAnsi="仿宋" w:hint="eastAsia"/>
          <w:bCs w:val="0"/>
          <w:color w:val="000000"/>
          <w:sz w:val="30"/>
          <w:szCs w:val="30"/>
        </w:rPr>
        <w:lastRenderedPageBreak/>
        <w:t>七、交易及清算交收安排</w:t>
      </w:r>
      <w:bookmarkEnd w:id="22"/>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（一）选择代理证券买卖的证券经营机构</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设计选择代理证券买卖的证券经营机构的标准和程序。基金管理人负责选择证券经营机构，租用其交易单元作为基金的交易单元。基金管理人和被选中的证券经营机构签订委托协议，基金管理人应提前通知基金托管人，并将被选中证券经营机构提供的《基金用户交易单位变更申请书》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（二）基金投资证券后的清算交收安排</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1．清算与交割</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根据《中国证券登记结算有限责任公司结算备付金管理办法》，在每月前3个工作日内，中国证券登记结算有限责任公司对结算参与人的最低结算备付金限额进行重新核算、调整。基金托管人在中国证券登记结算有限责任公司调整最低结算备付金当日，在资金流量表中反映最低备付金调整的情况。管理人应预留最低备付金，并根据中国证券登记结算有限责任公司确定的实际下月最低备付金数据为依据安排资金运作，调整所需的现金头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根据中国证券登记结算有限责任公司深圳分公司证券资金结算业务规则，中国证券登记结算有限责任公司深圳分公司于季度初，调整互保基金基数，基金托管人在调整当日，在资金流量表中反映互保基金调整情况，基金管理人应预留足够头寸。</w:t>
      </w:r>
      <w:proofErr w:type="gramStart"/>
      <w:r w:rsidRPr="00D02ED3">
        <w:rPr>
          <w:rFonts w:ascii="仿宋" w:eastAsia="仿宋" w:hAnsi="仿宋" w:hint="eastAsia"/>
          <w:color w:val="000000"/>
          <w:sz w:val="24"/>
          <w:szCs w:val="24"/>
        </w:rPr>
        <w:t>若基金</w:t>
      </w:r>
      <w:proofErr w:type="gramEnd"/>
      <w:r w:rsidRPr="00D02ED3">
        <w:rPr>
          <w:rFonts w:ascii="仿宋" w:eastAsia="仿宋" w:hAnsi="仿宋" w:hint="eastAsia"/>
          <w:color w:val="000000"/>
          <w:sz w:val="24"/>
          <w:szCs w:val="24"/>
        </w:rPr>
        <w:t>管理人参与权证交易，应按中国证券登记结算有限责任公司要求缴纳权证交收履约保证金，中国证券登记结算有限责任公司于每月第一个交易日调整交收履约保证金，基金管理人应预留足够头寸。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55B3A" w:rsidRPr="00D02ED3" w:rsidRDefault="00455B3A">
      <w:pPr>
        <w:spacing w:line="360" w:lineRule="auto"/>
        <w:ind w:firstLine="480"/>
        <w:rPr>
          <w:rFonts w:ascii="仿宋" w:eastAsia="仿宋" w:hAnsi="仿宋"/>
          <w:color w:val="000000"/>
          <w:sz w:val="24"/>
          <w:szCs w:val="24"/>
        </w:rPr>
      </w:pPr>
      <w:r w:rsidRPr="00D02ED3">
        <w:rPr>
          <w:rFonts w:ascii="仿宋" w:eastAsia="仿宋" w:hAnsi="仿宋" w:hint="eastAsia"/>
          <w:color w:val="000000"/>
          <w:sz w:val="24"/>
          <w:szCs w:val="24"/>
        </w:rPr>
        <w:lastRenderedPageBreak/>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等原因造成基金投资清算困难和风险的，基金托管人发现后应立即通知基金管理人，由基金管理人负责解决，并确保于</w:t>
      </w:r>
      <w:proofErr w:type="gramStart"/>
      <w:r w:rsidRPr="00D02ED3">
        <w:rPr>
          <w:rFonts w:ascii="仿宋" w:eastAsia="仿宋" w:hAnsi="仿宋" w:hint="eastAsia"/>
          <w:color w:val="000000"/>
          <w:sz w:val="24"/>
          <w:szCs w:val="24"/>
        </w:rPr>
        <w:t>交收日11点</w:t>
      </w:r>
      <w:proofErr w:type="gramEnd"/>
      <w:r w:rsidRPr="00D02ED3">
        <w:rPr>
          <w:rFonts w:ascii="仿宋" w:eastAsia="仿宋" w:hAnsi="仿宋" w:hint="eastAsia"/>
          <w:color w:val="000000"/>
          <w:sz w:val="24"/>
          <w:szCs w:val="24"/>
        </w:rPr>
        <w:t>前完成融资，用以完成清算交收，基金托管人应给予必要的配合，由此给基金托管人、本基金造成的直接损失由基金管理人承担。</w:t>
      </w:r>
    </w:p>
    <w:p w:rsidR="00455B3A" w:rsidRPr="00D02ED3" w:rsidRDefault="00455B3A">
      <w:pPr>
        <w:spacing w:line="360" w:lineRule="auto"/>
        <w:ind w:firstLineChars="200" w:firstLine="480"/>
        <w:rPr>
          <w:rFonts w:ascii="仿宋" w:eastAsia="仿宋" w:hAnsi="仿宋" w:cs="Arial"/>
          <w:color w:val="000000"/>
          <w:kern w:val="0"/>
          <w:sz w:val="24"/>
        </w:rPr>
      </w:pPr>
      <w:r w:rsidRPr="00D02ED3">
        <w:rPr>
          <w:rFonts w:ascii="仿宋" w:eastAsia="仿宋" w:hAnsi="仿宋" w:cs="Arial" w:hint="eastAsia"/>
          <w:color w:val="000000"/>
          <w:kern w:val="0"/>
          <w:sz w:val="24"/>
        </w:rPr>
        <w:t>基金管理人应采取合理措施，确保在T+1日上午10:00前有足够的资金头寸用于中国证券登记结算有限责任公司上海分公司和深圳分公司的资金结算。</w:t>
      </w:r>
    </w:p>
    <w:p w:rsidR="00455B3A" w:rsidRPr="00D02ED3" w:rsidRDefault="00455B3A">
      <w:pPr>
        <w:spacing w:line="360" w:lineRule="auto"/>
        <w:ind w:firstLineChars="200" w:firstLine="480"/>
        <w:rPr>
          <w:rFonts w:ascii="仿宋" w:eastAsia="仿宋" w:hAnsi="仿宋" w:cs="Arial"/>
          <w:color w:val="000000"/>
          <w:kern w:val="0"/>
          <w:sz w:val="24"/>
        </w:rPr>
      </w:pPr>
      <w:r w:rsidRPr="00D02ED3">
        <w:rPr>
          <w:rFonts w:ascii="仿宋" w:eastAsia="仿宋" w:hAnsi="仿宋" w:cs="Arial" w:hint="eastAsia"/>
          <w:color w:val="000000"/>
          <w:kern w:val="0"/>
          <w:sz w:val="24"/>
        </w:rPr>
        <w:t>通过上交所固定收益证券综合电子平台达成的私募债券转让，中国证券登记结算公司上海分公司根据证券交易所发送的转让成交结果办理实时逐笔全额结算（</w:t>
      </w:r>
      <w:r w:rsidRPr="00D02ED3">
        <w:rPr>
          <w:rFonts w:ascii="仿宋" w:eastAsia="仿宋" w:hAnsi="仿宋" w:cs="Arial"/>
          <w:color w:val="000000"/>
          <w:kern w:val="0"/>
          <w:sz w:val="24"/>
        </w:rPr>
        <w:t>RTGS</w:t>
      </w:r>
      <w:r w:rsidRPr="00D02ED3">
        <w:rPr>
          <w:rFonts w:ascii="仿宋" w:eastAsia="仿宋" w:hAnsi="仿宋" w:cs="Arial" w:hint="eastAsia"/>
          <w:color w:val="000000"/>
          <w:kern w:val="0"/>
          <w:sz w:val="24"/>
        </w:rPr>
        <w:t>）。RTGS的最终交收时点为T日的15:30分，为保证RTGS交易成功，管理人应于交易T日的15:00之前，将买入私募债券的指令传真至托管人（非担保交收业务联系人：李国强010-63639184；</w:t>
      </w:r>
      <w:proofErr w:type="gramStart"/>
      <w:r w:rsidRPr="00D02ED3">
        <w:rPr>
          <w:rFonts w:ascii="仿宋" w:eastAsia="仿宋" w:hAnsi="仿宋" w:cs="Arial" w:hint="eastAsia"/>
          <w:color w:val="000000"/>
          <w:kern w:val="0"/>
          <w:sz w:val="24"/>
        </w:rPr>
        <w:t>周晓漫</w:t>
      </w:r>
      <w:proofErr w:type="gramEnd"/>
      <w:r w:rsidRPr="00D02ED3">
        <w:rPr>
          <w:rFonts w:ascii="仿宋" w:eastAsia="仿宋" w:hAnsi="仿宋" w:cs="Arial" w:hint="eastAsia"/>
          <w:color w:val="000000"/>
          <w:kern w:val="0"/>
          <w:sz w:val="24"/>
        </w:rPr>
        <w:t>010-63639155；传真01063639145、46、47）。</w:t>
      </w:r>
    </w:p>
    <w:p w:rsidR="00455B3A" w:rsidRPr="00D02ED3" w:rsidRDefault="00455B3A">
      <w:pPr>
        <w:spacing w:line="360" w:lineRule="auto"/>
        <w:ind w:firstLineChars="200" w:firstLine="480"/>
        <w:rPr>
          <w:rFonts w:ascii="宋体" w:hAnsi="宋体" w:cs="Arial"/>
          <w:kern w:val="0"/>
          <w:sz w:val="24"/>
        </w:rPr>
      </w:pPr>
      <w:r w:rsidRPr="00D02ED3">
        <w:rPr>
          <w:rFonts w:ascii="仿宋" w:eastAsia="仿宋" w:hAnsi="仿宋" w:cs="Arial" w:hint="eastAsia"/>
          <w:color w:val="000000"/>
          <w:kern w:val="0"/>
          <w:sz w:val="24"/>
        </w:rPr>
        <w:t>通过深圳综合协议平台的公司债、私募债，结算方式为逐笔</w:t>
      </w:r>
      <w:proofErr w:type="gramStart"/>
      <w:r w:rsidRPr="00D02ED3">
        <w:rPr>
          <w:rFonts w:ascii="仿宋" w:eastAsia="仿宋" w:hAnsi="仿宋" w:cs="Arial" w:hint="eastAsia"/>
          <w:color w:val="000000"/>
          <w:kern w:val="0"/>
          <w:sz w:val="24"/>
        </w:rPr>
        <w:t>全额非</w:t>
      </w:r>
      <w:proofErr w:type="gramEnd"/>
      <w:r w:rsidRPr="00D02ED3">
        <w:rPr>
          <w:rFonts w:ascii="仿宋" w:eastAsia="仿宋" w:hAnsi="仿宋" w:cs="Arial" w:hint="eastAsia"/>
          <w:color w:val="000000"/>
          <w:kern w:val="0"/>
          <w:sz w:val="24"/>
        </w:rPr>
        <w:t>担保交收，最终交收时点为T日16:00，因此管理人应于T日15:30分之前向托管人</w:t>
      </w:r>
      <w:proofErr w:type="gramStart"/>
      <w:r w:rsidRPr="00D02ED3">
        <w:rPr>
          <w:rFonts w:ascii="仿宋" w:eastAsia="仿宋" w:hAnsi="仿宋" w:cs="Arial" w:hint="eastAsia"/>
          <w:color w:val="000000"/>
          <w:kern w:val="0"/>
          <w:sz w:val="24"/>
        </w:rPr>
        <w:t>发送非</w:t>
      </w:r>
      <w:proofErr w:type="gramEnd"/>
      <w:r w:rsidRPr="00D02ED3">
        <w:rPr>
          <w:rFonts w:ascii="仿宋" w:eastAsia="仿宋" w:hAnsi="仿宋" w:cs="Arial" w:hint="eastAsia"/>
          <w:color w:val="000000"/>
          <w:kern w:val="0"/>
          <w:sz w:val="24"/>
        </w:rPr>
        <w:t>担保交收债券的买入指令。</w:t>
      </w:r>
    </w:p>
    <w:p w:rsidR="00455B3A" w:rsidRPr="00D02ED3" w:rsidRDefault="00455B3A">
      <w:pPr>
        <w:spacing w:line="360" w:lineRule="auto"/>
        <w:ind w:firstLineChars="200" w:firstLine="480"/>
        <w:rPr>
          <w:rFonts w:ascii="仿宋" w:eastAsia="仿宋" w:hAnsi="仿宋" w:cs="Arial"/>
          <w:color w:val="000000"/>
          <w:kern w:val="0"/>
          <w:sz w:val="24"/>
        </w:rPr>
      </w:pP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基金管理人应保证基金托管人在执行基金管理人发送的划款指令时，基金托管专户或资金交收账户（</w:t>
      </w:r>
      <w:proofErr w:type="gramStart"/>
      <w:r w:rsidRPr="00D02ED3">
        <w:rPr>
          <w:rFonts w:ascii="仿宋" w:eastAsia="仿宋" w:hAnsi="仿宋" w:hint="eastAsia"/>
          <w:color w:val="000000"/>
          <w:sz w:val="24"/>
          <w:szCs w:val="24"/>
        </w:rPr>
        <w:t>除登记公司收保或</w:t>
      </w:r>
      <w:proofErr w:type="gramEnd"/>
      <w:r w:rsidRPr="00D02ED3">
        <w:rPr>
          <w:rFonts w:ascii="仿宋" w:eastAsia="仿宋" w:hAnsi="仿宋" w:hint="eastAsia"/>
          <w:color w:val="000000"/>
          <w:sz w:val="24"/>
          <w:szCs w:val="24"/>
        </w:rPr>
        <w:t>冻结资金外）上有充足的资金。基金的资金头寸不足时，基金托管人有权拒绝基金管理人发送的划款指令，但应及时通知基金管理人。基金管理人在发送划款指令时应充分考虑基金托管人的划款处理时间</w:t>
      </w:r>
      <w:r w:rsidRPr="00D02ED3">
        <w:rPr>
          <w:rFonts w:ascii="仿宋" w:eastAsia="仿宋" w:hAnsi="仿宋" w:hint="eastAsia"/>
          <w:color w:val="000000"/>
          <w:sz w:val="24"/>
        </w:rPr>
        <w:t>（该必需的时间不长于正常情况下基金托管人日常处理该指令所用的平均时间）</w:t>
      </w:r>
      <w:r w:rsidRPr="00D02ED3">
        <w:rPr>
          <w:rFonts w:ascii="仿宋" w:eastAsia="仿宋" w:hAnsi="仿宋" w:hint="eastAsia"/>
          <w:color w:val="000000"/>
          <w:sz w:val="24"/>
          <w:szCs w:val="24"/>
        </w:rPr>
        <w:t>。在基金资金头寸充足的情况下，基金托管人对基金管理人符合法律法规、基金合同、本协议的指令不得拖延或拒绝执行。</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若由于结算机构的交收规则发生变化，基金托管人和基金管理人应根据新的</w:t>
      </w:r>
      <w:r w:rsidRPr="00D02ED3">
        <w:rPr>
          <w:rFonts w:ascii="仿宋" w:eastAsia="仿宋" w:hAnsi="仿宋" w:hint="eastAsia"/>
          <w:color w:val="000000"/>
          <w:sz w:val="24"/>
          <w:szCs w:val="24"/>
        </w:rPr>
        <w:lastRenderedPageBreak/>
        <w:t>交收规则</w:t>
      </w:r>
      <w:proofErr w:type="gramStart"/>
      <w:r w:rsidRPr="00D02ED3">
        <w:rPr>
          <w:rFonts w:ascii="仿宋" w:eastAsia="仿宋" w:hAnsi="仿宋" w:hint="eastAsia"/>
          <w:color w:val="000000"/>
          <w:sz w:val="24"/>
          <w:szCs w:val="24"/>
        </w:rPr>
        <w:t>作出</w:t>
      </w:r>
      <w:proofErr w:type="gramEnd"/>
      <w:r w:rsidRPr="00D02ED3">
        <w:rPr>
          <w:rFonts w:ascii="仿宋" w:eastAsia="仿宋" w:hAnsi="仿宋" w:hint="eastAsia"/>
          <w:color w:val="000000"/>
          <w:sz w:val="24"/>
          <w:szCs w:val="24"/>
        </w:rPr>
        <w:t>相应变动，基金管理人应配合基金托管人为完成交</w:t>
      </w:r>
      <w:proofErr w:type="gramStart"/>
      <w:r w:rsidRPr="00D02ED3">
        <w:rPr>
          <w:rFonts w:ascii="仿宋" w:eastAsia="仿宋" w:hAnsi="仿宋" w:hint="eastAsia"/>
          <w:color w:val="000000"/>
          <w:sz w:val="24"/>
          <w:szCs w:val="24"/>
        </w:rPr>
        <w:t>收提供</w:t>
      </w:r>
      <w:proofErr w:type="gramEnd"/>
      <w:r w:rsidRPr="00D02ED3">
        <w:rPr>
          <w:rFonts w:ascii="仿宋" w:eastAsia="仿宋" w:hAnsi="仿宋" w:hint="eastAsia"/>
          <w:color w:val="000000"/>
          <w:sz w:val="24"/>
          <w:szCs w:val="24"/>
        </w:rPr>
        <w:t>必要的帮助。</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2．交易记录、资金和证券账目核对的时间和方式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（1）交易记录的核对</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与基金托管人按日进行交易记录的核对。对外披露净值之前，基金管理人必须保证当天所有实际交易记录与基金会计账簿上的交易记录完全一致。如果实际交易记录与会计账簿记录不一致，造成基金会计核算不完整或不真实，由此导致的损失由责任方承担。</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（2）资金账目的核对</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资金账目按日核实。</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（3）证券账目的核对</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基金管理人和基金托管人每交易日结束后核对基金证券账目，确保双方账目相符。基金管理人和基金托管人每月月末核对实物证券账目。</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（三）基金申购和赎回业务处理的基本规定</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1．基金份额申购、赎回的确认、清算由基金管理人或其委托的注册登记机构负责。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3．基金管理人应保证本基金的注册登记机构在工作日15:00前向基金托管人发送前一开放</w:t>
      </w:r>
      <w:proofErr w:type="gramStart"/>
      <w:r w:rsidRPr="00D02ED3">
        <w:rPr>
          <w:rFonts w:ascii="仿宋" w:eastAsia="仿宋" w:hAnsi="仿宋" w:hint="eastAsia"/>
          <w:color w:val="000000"/>
          <w:sz w:val="24"/>
          <w:szCs w:val="24"/>
        </w:rPr>
        <w:t>日上述</w:t>
      </w:r>
      <w:proofErr w:type="gramEnd"/>
      <w:r w:rsidRPr="00D02ED3">
        <w:rPr>
          <w:rFonts w:ascii="仿宋" w:eastAsia="仿宋" w:hAnsi="仿宋" w:hint="eastAsia"/>
          <w:color w:val="000000"/>
          <w:sz w:val="24"/>
          <w:szCs w:val="24"/>
        </w:rPr>
        <w:t>有关数据，并保证相关数据的准确、完整。</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基金管理人或其委托注册登记机构应通过与基金托管人建立的数据传输系统发送有关数据（包括电子数据和盖章生效的纸制清算汇总表），如因各种原因，该系统无法正常发送，双方可协商解决处理方式。基金管理人向基金托管人发送的数据，双方各自按有关规定保存。</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5．如基金管理人委托其他机构办理本基金的注册登记业务，应保证上述相关事宜按时进行。否则，由基金管理人承担相应的责任。</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6．关于清算专用账户的设立和管理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lastRenderedPageBreak/>
        <w:t>为满足申购、赎回及分红资金汇划的需要，由基金管理人开立资金清算的专用账户，该账户由注册登记机构管理。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8．赎回和分红资金划拨规定</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拨付</w:t>
      </w:r>
      <w:proofErr w:type="gramStart"/>
      <w:r w:rsidRPr="00D02ED3">
        <w:rPr>
          <w:rFonts w:ascii="仿宋" w:eastAsia="仿宋" w:hAnsi="仿宋" w:hint="eastAsia"/>
          <w:color w:val="000000"/>
          <w:sz w:val="24"/>
          <w:szCs w:val="24"/>
        </w:rPr>
        <w:t>赎回款</w:t>
      </w:r>
      <w:proofErr w:type="gramEnd"/>
      <w:r w:rsidRPr="00D02ED3">
        <w:rPr>
          <w:rFonts w:ascii="仿宋" w:eastAsia="仿宋" w:hAnsi="仿宋" w:hint="eastAsia"/>
          <w:color w:val="000000"/>
          <w:sz w:val="24"/>
          <w:szCs w:val="24"/>
        </w:rPr>
        <w:t>或进行基金分红时，如基金资金账户有足够的资金，基金托管人应按时拨付；因基金资金账户没有足够的资金，导致基金托管人不能按时拨付，如</w:t>
      </w:r>
      <w:proofErr w:type="gramStart"/>
      <w:r w:rsidRPr="00D02ED3">
        <w:rPr>
          <w:rFonts w:ascii="仿宋" w:eastAsia="仿宋" w:hAnsi="仿宋" w:hint="eastAsia"/>
          <w:color w:val="000000"/>
          <w:sz w:val="24"/>
          <w:szCs w:val="24"/>
        </w:rPr>
        <w:t>系基金</w:t>
      </w:r>
      <w:proofErr w:type="gramEnd"/>
      <w:r w:rsidRPr="00D02ED3">
        <w:rPr>
          <w:rFonts w:ascii="仿宋" w:eastAsia="仿宋" w:hAnsi="仿宋" w:hint="eastAsia"/>
          <w:color w:val="000000"/>
          <w:sz w:val="24"/>
          <w:szCs w:val="24"/>
        </w:rPr>
        <w:t>管理人的原因造成，基金托管人不承担垫款义务。</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9．资金指令</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除申购款项到达基金资金账户需双方按约定方式对账外，回购到期付款和与投资有关的付款、赎回和分红资金划拨时，基金管理人需向基金托管人下达指令。</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资金指令的格式、内容、发送、接收和确认方式等与投资指令相同。</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（四）</w:t>
      </w:r>
      <w:proofErr w:type="gramStart"/>
      <w:r w:rsidRPr="00D02ED3">
        <w:rPr>
          <w:rFonts w:ascii="仿宋" w:eastAsia="仿宋" w:hAnsi="仿宋" w:hint="eastAsia"/>
          <w:color w:val="000000"/>
          <w:sz w:val="24"/>
          <w:szCs w:val="24"/>
        </w:rPr>
        <w:t>申赎净额</w:t>
      </w:r>
      <w:proofErr w:type="gramEnd"/>
      <w:r w:rsidRPr="00D02ED3">
        <w:rPr>
          <w:rFonts w:ascii="仿宋" w:eastAsia="仿宋" w:hAnsi="仿宋" w:hint="eastAsia"/>
          <w:color w:val="000000"/>
          <w:sz w:val="24"/>
          <w:szCs w:val="24"/>
        </w:rPr>
        <w:t>结算</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基金托管账户与基金管理人开立的“清算账户”间的资金结算遵循“全额清算、净额交收”的原则，每个开放</w:t>
      </w:r>
      <w:proofErr w:type="gramStart"/>
      <w:r w:rsidRPr="00D02ED3">
        <w:rPr>
          <w:rFonts w:ascii="仿宋" w:eastAsia="仿宋" w:hAnsi="仿宋" w:hint="eastAsia"/>
          <w:color w:val="000000"/>
          <w:sz w:val="24"/>
          <w:szCs w:val="24"/>
        </w:rPr>
        <w:t>日按照</w:t>
      </w:r>
      <w:proofErr w:type="gramEnd"/>
      <w:r w:rsidRPr="00D02ED3">
        <w:rPr>
          <w:rFonts w:ascii="仿宋" w:eastAsia="仿宋" w:hAnsi="仿宋" w:hint="eastAsia"/>
          <w:color w:val="000000"/>
          <w:sz w:val="24"/>
          <w:szCs w:val="24"/>
        </w:rPr>
        <w:t>托管账户应收资金与应付资金的差额来确定托管账户净应收额或净应付额，以此确定资金交收额。当存在托管账户净应收额时，基金管理人应在T＋2日15:00之前从基金清算账户划到基金托管账户，基金托管人在资金到账后应立即通知基金管理人，并将有关书面凭证传真给基金管理人进行账务管理；当存在托管账户净应付额时，基金管理人应在T＋2日将划款指令发送给基金托管人，基金托管人按基金管理人的划款指令将托管账户净应付额在T＋3日12:00之前</w:t>
      </w:r>
      <w:proofErr w:type="gramStart"/>
      <w:r w:rsidRPr="00D02ED3">
        <w:rPr>
          <w:rFonts w:ascii="仿宋" w:eastAsia="仿宋" w:hAnsi="仿宋" w:hint="eastAsia"/>
          <w:color w:val="000000"/>
          <w:sz w:val="24"/>
          <w:szCs w:val="24"/>
        </w:rPr>
        <w:t>划往基金</w:t>
      </w:r>
      <w:proofErr w:type="gramEnd"/>
      <w:r w:rsidRPr="00D02ED3">
        <w:rPr>
          <w:rFonts w:ascii="仿宋" w:eastAsia="仿宋" w:hAnsi="仿宋" w:hint="eastAsia"/>
          <w:color w:val="000000"/>
          <w:sz w:val="24"/>
          <w:szCs w:val="24"/>
        </w:rPr>
        <w:t>清算账户，基金托管人在资金划出后立即通知基金管理人，并将有关书面凭证交给基金管理人进行账务管理。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当存在托管账户净应付额时，如基金托管专户有足够的资金，基金托管人应按时拨付；因基金托管专户没有足够的资金，导致基金托管人不能按时拨付，基金托管人应及时通知基金管理人，如</w:t>
      </w:r>
      <w:proofErr w:type="gramStart"/>
      <w:r w:rsidRPr="00D02ED3">
        <w:rPr>
          <w:rFonts w:ascii="仿宋" w:eastAsia="仿宋" w:hAnsi="仿宋" w:hint="eastAsia"/>
          <w:color w:val="000000"/>
          <w:sz w:val="24"/>
          <w:szCs w:val="24"/>
        </w:rPr>
        <w:t>系基金</w:t>
      </w:r>
      <w:proofErr w:type="gramEnd"/>
      <w:r w:rsidRPr="00D02ED3">
        <w:rPr>
          <w:rFonts w:ascii="仿宋" w:eastAsia="仿宋" w:hAnsi="仿宋" w:hint="eastAsia"/>
          <w:color w:val="000000"/>
          <w:sz w:val="24"/>
          <w:szCs w:val="24"/>
        </w:rPr>
        <w:t>管理人的原因造成的，基金托管人不承担垫款义务。</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（五）基金转换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lastRenderedPageBreak/>
        <w:t>1．在本基金与基金管理人管理的其它基金开展转换业务之前，基金管理人应函告基金托管人并就相关事宜进行协商。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2．基金托管人将根据基金管理人传送的基金转换数据进行账务处理，</w:t>
      </w:r>
      <w:proofErr w:type="gramStart"/>
      <w:r w:rsidRPr="00D02ED3">
        <w:rPr>
          <w:rFonts w:ascii="仿宋" w:eastAsia="仿宋" w:hAnsi="仿宋" w:hint="eastAsia"/>
          <w:color w:val="000000"/>
          <w:sz w:val="24"/>
          <w:szCs w:val="24"/>
        </w:rPr>
        <w:t>具体资金</w:t>
      </w:r>
      <w:proofErr w:type="gramEnd"/>
      <w:r w:rsidRPr="00D02ED3">
        <w:rPr>
          <w:rFonts w:ascii="仿宋" w:eastAsia="仿宋" w:hAnsi="仿宋" w:hint="eastAsia"/>
          <w:color w:val="000000"/>
          <w:sz w:val="24"/>
          <w:szCs w:val="24"/>
        </w:rPr>
        <w:t>清算和数据传递的时间、程序及托管协议当事人承担的权责按基金管理人届时的公告执行。</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3．本基金开展基金转换业务应按相关法律法规规定及基金合同的约定进行公告。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（六）基金现金分红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1．基金管理人确定分红方案通知基金托管人，双方核定后依照《信息披露办法》的有关规定在中国证监会指定媒体上公告并报中国证监会备案。</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2．基金托管人和基金管理人对基金分红进行账务处理并核对后，基金管理人向基金托管人发送现金红利的划款指令，基金托管人应及时将资金划入专用账户。</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3．基金管理人在下达指令时，应给基金托管人留出必需的划款时间。</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23" w:name="_Toc264617148"/>
      <w:r w:rsidRPr="00D02ED3">
        <w:rPr>
          <w:rFonts w:ascii="仿宋" w:eastAsia="仿宋" w:hAnsi="仿宋" w:hint="eastAsia"/>
          <w:bCs w:val="0"/>
          <w:color w:val="000000"/>
          <w:sz w:val="30"/>
          <w:szCs w:val="30"/>
        </w:rPr>
        <w:lastRenderedPageBreak/>
        <w:t>八、基金资产净值计算和会计核算</w:t>
      </w:r>
      <w:bookmarkEnd w:id="23"/>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（一）基金资产净值的计算、复核与完成的时间及程序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1．基金资产净值</w:t>
      </w:r>
    </w:p>
    <w:p w:rsidR="00455B3A" w:rsidRPr="00D02ED3" w:rsidRDefault="00455B3A">
      <w:pPr>
        <w:widowControl/>
        <w:adjustRightInd w:val="0"/>
        <w:snapToGrid w:val="0"/>
        <w:spacing w:line="360" w:lineRule="auto"/>
        <w:ind w:firstLineChars="200" w:firstLine="480"/>
        <w:rPr>
          <w:rFonts w:ascii="仿宋" w:eastAsia="仿宋" w:hAnsi="仿宋" w:cs="Arial"/>
          <w:color w:val="000000"/>
          <w:kern w:val="0"/>
          <w:sz w:val="24"/>
        </w:rPr>
      </w:pPr>
      <w:r w:rsidRPr="00D02ED3">
        <w:rPr>
          <w:rFonts w:ascii="仿宋" w:eastAsia="仿宋" w:hAnsi="仿宋" w:cs="Arial" w:hint="eastAsia"/>
          <w:color w:val="000000"/>
          <w:kern w:val="0"/>
          <w:sz w:val="24"/>
        </w:rPr>
        <w:t>基金资产净值是指基金资产总值减去负债后的价值。基金份额净值是指计算日基金资产净值除以计算日该基金份额总数后的价值。</w:t>
      </w:r>
    </w:p>
    <w:p w:rsidR="00455B3A" w:rsidRPr="00D02ED3" w:rsidRDefault="00455B3A">
      <w:pPr>
        <w:widowControl/>
        <w:adjustRightInd w:val="0"/>
        <w:snapToGrid w:val="0"/>
        <w:spacing w:line="360" w:lineRule="auto"/>
        <w:ind w:firstLineChars="200" w:firstLine="480"/>
        <w:rPr>
          <w:rFonts w:ascii="仿宋" w:eastAsia="仿宋" w:hAnsi="仿宋" w:cs="Arial"/>
          <w:color w:val="000000"/>
          <w:kern w:val="0"/>
          <w:sz w:val="24"/>
        </w:rPr>
      </w:pPr>
      <w:r w:rsidRPr="00D02ED3">
        <w:rPr>
          <w:rFonts w:ascii="仿宋" w:eastAsia="仿宋" w:hAnsi="仿宋" w:cs="Arial" w:hint="eastAsia"/>
          <w:color w:val="000000"/>
          <w:kern w:val="0"/>
          <w:sz w:val="24"/>
        </w:rPr>
        <w:t>计算公式为: 计算日基金份额净值 = 计算日基金份额基金资产净值 / 计算日基金份额的总份额。基金份额净值的计算均精确到0.001 元，小数点后第</w:t>
      </w:r>
      <w:r w:rsidRPr="00D02ED3">
        <w:rPr>
          <w:rFonts w:ascii="仿宋" w:eastAsia="仿宋" w:hAnsi="仿宋" w:hint="eastAsia"/>
          <w:color w:val="000000"/>
          <w:sz w:val="24"/>
          <w:szCs w:val="24"/>
        </w:rPr>
        <w:t>4</w:t>
      </w:r>
      <w:r w:rsidRPr="00D02ED3">
        <w:rPr>
          <w:rFonts w:ascii="仿宋" w:eastAsia="仿宋" w:hAnsi="仿宋" w:cs="Arial" w:hint="eastAsia"/>
          <w:color w:val="000000"/>
          <w:kern w:val="0"/>
          <w:sz w:val="24"/>
        </w:rPr>
        <w:t>位四舍五入，由此产生的收益或损失由基金财产承担。国家另有规定的，从其规定。</w:t>
      </w:r>
    </w:p>
    <w:p w:rsidR="00455B3A" w:rsidRPr="00D02ED3" w:rsidRDefault="00455B3A">
      <w:pPr>
        <w:widowControl/>
        <w:adjustRightInd w:val="0"/>
        <w:snapToGrid w:val="0"/>
        <w:spacing w:line="360" w:lineRule="auto"/>
        <w:ind w:firstLineChars="200" w:firstLine="480"/>
        <w:rPr>
          <w:rFonts w:ascii="仿宋" w:eastAsia="仿宋" w:hAnsi="仿宋" w:cs="Arial"/>
          <w:color w:val="000000"/>
          <w:kern w:val="0"/>
          <w:sz w:val="24"/>
        </w:rPr>
      </w:pPr>
      <w:r w:rsidRPr="00D02ED3">
        <w:rPr>
          <w:rFonts w:ascii="仿宋" w:eastAsia="仿宋" w:hAnsi="仿宋" w:cs="Arial" w:hint="eastAsia"/>
          <w:color w:val="000000"/>
          <w:kern w:val="0"/>
          <w:sz w:val="24"/>
        </w:rPr>
        <w:t>每个工作日计算基金资产净值和基金份额净值，并按规定公告。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2．复核程序</w:t>
      </w:r>
    </w:p>
    <w:p w:rsidR="00455B3A" w:rsidRPr="00D02ED3" w:rsidRDefault="00455B3A">
      <w:pPr>
        <w:widowControl/>
        <w:adjustRightInd w:val="0"/>
        <w:snapToGrid w:val="0"/>
        <w:spacing w:line="360" w:lineRule="auto"/>
        <w:ind w:firstLineChars="200" w:firstLine="480"/>
        <w:rPr>
          <w:rFonts w:ascii="仿宋" w:eastAsia="仿宋" w:hAnsi="仿宋" w:cs="Arial"/>
          <w:color w:val="000000"/>
          <w:kern w:val="0"/>
          <w:sz w:val="24"/>
        </w:rPr>
      </w:pPr>
      <w:r w:rsidRPr="00D02ED3">
        <w:rPr>
          <w:rFonts w:ascii="仿宋" w:eastAsia="仿宋" w:hAnsi="仿宋" w:cs="Arial" w:hint="eastAsia"/>
          <w:color w:val="000000"/>
          <w:kern w:val="0"/>
          <w:sz w:val="24"/>
        </w:rPr>
        <w:t>基金管理人每个工作日对基金资产进行估值后，将基金份额净值结果发送基金托管人，经基金托管人复核无误后，由基金管理人按规定对外公布。</w:t>
      </w:r>
      <w:r w:rsidRPr="00D02ED3">
        <w:rPr>
          <w:rFonts w:ascii="仿宋" w:eastAsia="仿宋" w:hAnsi="仿宋" w:cs="Arial" w:hint="eastAsia"/>
          <w:bCs/>
          <w:color w:val="000000"/>
          <w:kern w:val="0"/>
          <w:sz w:val="24"/>
        </w:rPr>
        <w:t>但基金管理人根据法律法规或本基金合同的规定暂停估值时除外。</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（二）基金资产估值方法和特殊情形的处理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1．估值对象</w:t>
      </w:r>
    </w:p>
    <w:p w:rsidR="00455B3A" w:rsidRPr="00D02ED3" w:rsidRDefault="00455B3A">
      <w:pPr>
        <w:spacing w:line="360" w:lineRule="auto"/>
        <w:ind w:firstLineChars="200" w:firstLine="480"/>
        <w:rPr>
          <w:rFonts w:ascii="仿宋" w:eastAsia="仿宋" w:hAnsi="仿宋"/>
          <w:color w:val="000000"/>
          <w:sz w:val="24"/>
          <w:szCs w:val="24"/>
          <w:shd w:val="pct10" w:color="auto" w:fill="FFFFFF"/>
        </w:rPr>
      </w:pPr>
      <w:r w:rsidRPr="00D02ED3">
        <w:rPr>
          <w:rFonts w:ascii="仿宋" w:eastAsia="仿宋" w:hAnsi="仿宋" w:hint="eastAsia"/>
          <w:color w:val="000000"/>
          <w:sz w:val="24"/>
          <w:szCs w:val="24"/>
        </w:rPr>
        <w:t>基金所拥有的股票、债券、权证和银行存款本息、应收款项、其它投资等资产及负债。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2．估值方法</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（1）证券交易所上市的有价证券的估值</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w:t>
      </w:r>
      <w:r w:rsidRPr="00D02ED3">
        <w:rPr>
          <w:rFonts w:ascii="仿宋" w:eastAsia="仿宋" w:hAnsi="仿宋" w:hint="eastAsia"/>
          <w:color w:val="000000"/>
          <w:sz w:val="24"/>
          <w:szCs w:val="24"/>
        </w:rPr>
        <w:lastRenderedPageBreak/>
        <w:t>市价，确定公允价格。</w:t>
      </w:r>
    </w:p>
    <w:p w:rsidR="00455B3A" w:rsidRPr="00D02ED3" w:rsidRDefault="00455B3A">
      <w:pPr>
        <w:spacing w:line="408"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②交易所上市实行净价交易的债券按估值日第三方估值机构提供的相应品种当日的估值净价估值。</w:t>
      </w:r>
    </w:p>
    <w:p w:rsidR="00455B3A" w:rsidRPr="00D02ED3" w:rsidRDefault="00455B3A">
      <w:pPr>
        <w:spacing w:line="408"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③交易所上市未实行净价交易的债券按估值日第三方估值机构提供的相应品种当日的估值全价减去估值全价中所含的债券应收利息得到的净价进行估值。</w:t>
      </w:r>
    </w:p>
    <w:p w:rsidR="00455B3A" w:rsidRPr="00D02ED3" w:rsidRDefault="00455B3A">
      <w:pPr>
        <w:spacing w:line="408"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④交易所上市不存在活跃市场的有价证券，采用估值技术确定公允价值。交易所上市的资产支持证券，采用估值技术确定公允价值，在估值技术难以可靠计量公允价值的情况下，按成本估值。</w:t>
      </w:r>
    </w:p>
    <w:p w:rsidR="00455B3A" w:rsidRPr="00D02ED3" w:rsidRDefault="00455B3A">
      <w:pPr>
        <w:spacing w:line="408"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（2）处于未上市期间的有价证券应区分如下情况处理：</w:t>
      </w:r>
    </w:p>
    <w:p w:rsidR="00455B3A" w:rsidRPr="00D02ED3" w:rsidRDefault="00455B3A">
      <w:pPr>
        <w:spacing w:line="408"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①送股、转增股、配股和公开增发的新股，按估值日在证券交易所挂牌的同一股票的估值方法估值；该日无交易的，以最近一日的市价（收盘价）估值；</w:t>
      </w:r>
    </w:p>
    <w:p w:rsidR="00455B3A" w:rsidRPr="00D02ED3" w:rsidRDefault="00455B3A">
      <w:pPr>
        <w:spacing w:line="408"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②首次公开发行未上市的股票、债券和权证，采用估值技术确定公允价值，在估值技术难以可靠计量公允价值的情况下，按成本估值。</w:t>
      </w:r>
    </w:p>
    <w:p w:rsidR="00455B3A" w:rsidRPr="00D02ED3" w:rsidRDefault="00455B3A">
      <w:pPr>
        <w:spacing w:line="408"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③首次公开发行有明确锁定期的股票，同一股票在交易所上市后，按交易所上市的同一股票的估值方法估值；</w:t>
      </w:r>
    </w:p>
    <w:p w:rsidR="00455B3A" w:rsidRPr="00D02ED3" w:rsidRDefault="00455B3A">
      <w:pPr>
        <w:spacing w:line="384"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（3）全国银行间债券市场交易的债券、资产支持证券等固定收益品种，以第三方估值机构提供的价格数据估值。同一债券同时在两个或两个以上市场交易的，按债券所处的市场分别估值。</w:t>
      </w:r>
    </w:p>
    <w:p w:rsidR="00455B3A" w:rsidRPr="00D02ED3" w:rsidRDefault="00455B3A">
      <w:pPr>
        <w:spacing w:line="384" w:lineRule="auto"/>
        <w:ind w:firstLineChars="200" w:firstLine="480"/>
        <w:rPr>
          <w:rFonts w:ascii="仿宋" w:eastAsia="仿宋" w:hAnsi="仿宋" w:hint="eastAsia"/>
          <w:color w:val="000000"/>
          <w:sz w:val="24"/>
          <w:szCs w:val="24"/>
        </w:rPr>
      </w:pPr>
      <w:r w:rsidRPr="00D02ED3">
        <w:rPr>
          <w:rFonts w:ascii="仿宋" w:eastAsia="仿宋" w:hAnsi="仿宋" w:hint="eastAsia"/>
          <w:color w:val="000000"/>
          <w:sz w:val="24"/>
          <w:szCs w:val="24"/>
        </w:rPr>
        <w:t>（4）中小企业私募债券采用估值技术确定公允价值估值。如使用的估值技术难以确定和计量其公允价值的，按成本估值。</w:t>
      </w:r>
    </w:p>
    <w:p w:rsidR="00455B3A" w:rsidRPr="00D02ED3" w:rsidRDefault="00455B3A">
      <w:pPr>
        <w:spacing w:line="384"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（5）如有确凿证据表明按上述方法进行估值不能客观反映其公允价值的，基金管理人可根据具体情况与基金托管人商定后，按最能反映公允价值的价格估值。</w:t>
      </w:r>
    </w:p>
    <w:p w:rsidR="00455B3A" w:rsidRPr="00D02ED3" w:rsidRDefault="00455B3A">
      <w:pPr>
        <w:spacing w:line="384" w:lineRule="auto"/>
        <w:ind w:firstLineChars="200" w:firstLine="480"/>
        <w:rPr>
          <w:rFonts w:ascii="仿宋" w:eastAsia="仿宋" w:hAnsi="仿宋"/>
          <w:bCs/>
          <w:sz w:val="24"/>
        </w:rPr>
      </w:pPr>
      <w:r w:rsidRPr="00D02ED3">
        <w:rPr>
          <w:rFonts w:ascii="仿宋" w:eastAsia="仿宋" w:hAnsi="仿宋" w:hint="eastAsia"/>
          <w:color w:val="000000"/>
          <w:sz w:val="24"/>
          <w:szCs w:val="24"/>
        </w:rPr>
        <w:t>（6）相关法律法规以及监管部门有强制规定的，从其规定。如有新增事项，按国家最新规定估值。</w:t>
      </w:r>
    </w:p>
    <w:p w:rsidR="00455B3A" w:rsidRPr="00D02ED3" w:rsidRDefault="00455B3A">
      <w:pPr>
        <w:spacing w:line="384"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如基金管理人或基金托管人发现基金估值违反基金合同订明的估值方法、程序及相关法律法规的规定或者未能充分维护基金份额持有人利益时，应立即通知</w:t>
      </w:r>
      <w:r w:rsidRPr="00D02ED3">
        <w:rPr>
          <w:rFonts w:ascii="仿宋" w:eastAsia="仿宋" w:hAnsi="仿宋" w:hint="eastAsia"/>
          <w:color w:val="000000"/>
          <w:sz w:val="24"/>
          <w:szCs w:val="24"/>
        </w:rPr>
        <w:lastRenderedPageBreak/>
        <w:t>对方，共同查明原因，双方协商解决。</w:t>
      </w:r>
    </w:p>
    <w:p w:rsidR="00455B3A" w:rsidRPr="00D02ED3" w:rsidRDefault="00455B3A">
      <w:pPr>
        <w:spacing w:line="384"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3．特殊情形的处理</w:t>
      </w:r>
    </w:p>
    <w:p w:rsidR="00455B3A" w:rsidRPr="00D02ED3" w:rsidRDefault="00455B3A">
      <w:pPr>
        <w:spacing w:line="384"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基金托管人按估值方法的第（4）项进行估值时，所造成的误差不作为基金份额净值错误处理。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455B3A" w:rsidRPr="00D02ED3" w:rsidRDefault="00455B3A">
      <w:pPr>
        <w:spacing w:line="384"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（三）基金份额净值错误的处理方式</w:t>
      </w:r>
    </w:p>
    <w:p w:rsidR="00455B3A" w:rsidRPr="00D02ED3" w:rsidRDefault="00455B3A">
      <w:pPr>
        <w:spacing w:line="384"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基金管理人和基金托管人将采取必要、适当、合理的措施确保基金资产估值的准确性、及时性。当基金份额净值小数点后3位以内(含第3位)发生估值错误时，视为基金份额净值错误。</w:t>
      </w:r>
    </w:p>
    <w:p w:rsidR="00455B3A" w:rsidRPr="00D02ED3" w:rsidRDefault="00455B3A">
      <w:pPr>
        <w:spacing w:line="384"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基金合同的当事人应按照以下约定处理：</w:t>
      </w:r>
    </w:p>
    <w:p w:rsidR="00455B3A" w:rsidRPr="00D02ED3" w:rsidRDefault="00455B3A">
      <w:pPr>
        <w:spacing w:line="384"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1、估值错误类型</w:t>
      </w:r>
    </w:p>
    <w:p w:rsidR="00455B3A" w:rsidRPr="00D02ED3" w:rsidRDefault="00455B3A">
      <w:pPr>
        <w:spacing w:line="384"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上述估值错误的主要类型包括但不限于：资料申报差错、数据传输差错、数据计算差错、系统故障差错、下达指令差错等。</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2、估值错误处理原则</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lastRenderedPageBreak/>
        <w:t>（2）估值错误的责任方对有关当事人的直接损失负责，不对间接损失负责，并且仅对估值错误的有关直接当事人负责，不对第三方负责。</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（3）因估值错误而获得不当得利的当事人负有及时返还不当得利的义务。但估值错误责任方仍应对估值错误负责。如果由于获得不当得利的当事人</w:t>
      </w:r>
      <w:proofErr w:type="gramStart"/>
      <w:r w:rsidRPr="00D02ED3">
        <w:rPr>
          <w:rFonts w:ascii="仿宋" w:eastAsia="仿宋" w:hAnsi="仿宋" w:hint="eastAsia"/>
          <w:bCs/>
          <w:color w:val="000000"/>
          <w:sz w:val="24"/>
          <w:szCs w:val="24"/>
        </w:rPr>
        <w:t>不</w:t>
      </w:r>
      <w:proofErr w:type="gramEnd"/>
      <w:r w:rsidRPr="00D02ED3">
        <w:rPr>
          <w:rFonts w:ascii="仿宋" w:eastAsia="仿宋" w:hAnsi="仿宋" w:hint="eastAsia"/>
          <w:bCs/>
          <w:color w:val="000000"/>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（4）估值错误调整采用尽量恢复至假设未发生估值错误的正确情形的方式。</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3、估值错误处理程序</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估值错误被发现后，有关的当事人应当及时进行处理，处理的程序如下：</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（1）查明估值错误发生的原因，列明所有的当事人，并根据估值错误发生的原因确定估值错误的责任方；</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（2）根据估值错误处理原则或当事人协商的方法对因估值错误造成的损失进行评估；</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（3）根据估值错误处理原则或当事人协商的方法由估值错误的责任方进行更正和赔偿损失；</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（4）根据估值错误处理的方法，需要修改基金登记机构交易数据的，由基金登记机构进行更正，并就估值错误的更正向有关当事人进行确认。</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4、基金份额净值估值错误处理的方法如下：</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（1）基金份额净值计算出现错误时，基金管理人应当立即予以纠正，通报基金托管人，并采取合理的措施防止损失进一步扩大。</w:t>
      </w:r>
    </w:p>
    <w:p w:rsidR="00455B3A" w:rsidRPr="00D02ED3" w:rsidRDefault="00455B3A">
      <w:pPr>
        <w:spacing w:line="360" w:lineRule="auto"/>
        <w:ind w:firstLineChars="200" w:firstLine="480"/>
        <w:rPr>
          <w:rFonts w:ascii="仿宋" w:eastAsia="仿宋" w:hAnsi="仿宋"/>
          <w:bCs/>
          <w:color w:val="000000"/>
          <w:sz w:val="24"/>
          <w:szCs w:val="24"/>
        </w:rPr>
      </w:pPr>
      <w:r w:rsidRPr="00D02ED3">
        <w:rPr>
          <w:rFonts w:ascii="仿宋" w:eastAsia="仿宋" w:hAnsi="仿宋" w:hint="eastAsia"/>
          <w:bCs/>
          <w:color w:val="000000"/>
          <w:sz w:val="24"/>
          <w:szCs w:val="24"/>
        </w:rPr>
        <w:t>（2）错误偏差达到基金份额净值的0.25%时，基金管理人应当通报基金托管人并报中国证监会备案；错误偏差达到基金份额净值的0.5%时，基金管理人应当公告。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bCs/>
          <w:color w:val="000000"/>
          <w:sz w:val="24"/>
          <w:szCs w:val="24"/>
        </w:rPr>
        <w:t>（3）前述内容如法律法规或监管机关另有规定的，从其规定处理。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（四）暂停估值的情形</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1、基金投资所涉及的证券交易市场遇法定节假日或因其他原因暂停营业时；</w:t>
      </w:r>
    </w:p>
    <w:p w:rsidR="00455B3A" w:rsidRPr="00D02ED3" w:rsidRDefault="00455B3A">
      <w:pPr>
        <w:spacing w:line="360" w:lineRule="auto"/>
        <w:ind w:firstLineChars="200" w:firstLine="480"/>
        <w:rPr>
          <w:rFonts w:ascii="仿宋" w:eastAsia="仿宋" w:hAnsi="仿宋" w:hint="eastAsia"/>
          <w:bCs/>
          <w:color w:val="000000"/>
          <w:sz w:val="24"/>
        </w:rPr>
      </w:pPr>
      <w:r w:rsidRPr="00D02ED3">
        <w:rPr>
          <w:rFonts w:ascii="仿宋" w:eastAsia="仿宋" w:hAnsi="仿宋" w:hint="eastAsia"/>
          <w:bCs/>
          <w:color w:val="000000"/>
          <w:sz w:val="24"/>
        </w:rPr>
        <w:lastRenderedPageBreak/>
        <w:t>2、因不可抗力致使基金管理人、基金托管人无法准确评估基金资产价值时；</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3、当前一估值日基金资产净值</w:t>
      </w:r>
      <w:r w:rsidRPr="00D02ED3">
        <w:rPr>
          <w:rFonts w:ascii="仿宋" w:eastAsia="仿宋" w:hAnsi="仿宋"/>
          <w:bCs/>
          <w:color w:val="000000"/>
          <w:sz w:val="24"/>
        </w:rPr>
        <w:t>50%</w:t>
      </w:r>
      <w:r w:rsidRPr="00D02ED3">
        <w:rPr>
          <w:rFonts w:ascii="仿宋" w:eastAsia="仿宋" w:hAnsi="仿宋" w:hint="eastAsia"/>
          <w:bCs/>
          <w:color w:val="000000"/>
          <w:sz w:val="24"/>
        </w:rPr>
        <w:t>以上的资产出现无可参考的活跃市场价格且采用估值技术</w:t>
      </w:r>
      <w:proofErr w:type="gramStart"/>
      <w:r w:rsidRPr="00D02ED3">
        <w:rPr>
          <w:rFonts w:ascii="仿宋" w:eastAsia="仿宋" w:hAnsi="仿宋" w:hint="eastAsia"/>
          <w:bCs/>
          <w:color w:val="000000"/>
          <w:sz w:val="24"/>
        </w:rPr>
        <w:t>仍导致</w:t>
      </w:r>
      <w:proofErr w:type="gramEnd"/>
      <w:r w:rsidRPr="00D02ED3">
        <w:rPr>
          <w:rFonts w:ascii="仿宋" w:eastAsia="仿宋" w:hAnsi="仿宋" w:hint="eastAsia"/>
          <w:bCs/>
          <w:color w:val="000000"/>
          <w:sz w:val="24"/>
        </w:rPr>
        <w:t>公允价值存在重大不确定性时，经与基金托管人协商确认后，基金管理人应当暂停基金估值；</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4、中国证监会和基金合同认定的其它情形。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（五）基金会计制度</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按国家有关部门规定的会计制度执行。</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（六）基金账册的建立</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基金管理人进行基金会计核算并编制基金财务会计报告。基金管理人独立地设置、记录和保管本基金的全套账册。</w:t>
      </w:r>
      <w:proofErr w:type="gramStart"/>
      <w:r w:rsidRPr="00D02ED3">
        <w:rPr>
          <w:rFonts w:ascii="仿宋" w:eastAsia="仿宋" w:hAnsi="仿宋" w:hint="eastAsia"/>
          <w:color w:val="000000"/>
          <w:sz w:val="24"/>
          <w:szCs w:val="24"/>
        </w:rPr>
        <w:t>若基金</w:t>
      </w:r>
      <w:proofErr w:type="gramEnd"/>
      <w:r w:rsidRPr="00D02ED3">
        <w:rPr>
          <w:rFonts w:ascii="仿宋" w:eastAsia="仿宋" w:hAnsi="仿宋" w:hint="eastAsia"/>
          <w:color w:val="000000"/>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（七）基金财务报表与报告的编制和复核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1．财务报表的编制</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基金财务报表由基金管理人编制，基金托管人复核。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2．报表复核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基金托管人在收到基金管理人编制的基金财务报表后，进行独立的复核。核对不符时，应及时通知基金管理人共同查出原因，进行调整，直至双方数据完全一致。</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3．财务报表的编制与复核时间安排</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（1）报表的编制</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（2）报表的复核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基金管理人应及时完成报表编制，将有关报表提供基金托管人复核；基金托</w:t>
      </w:r>
      <w:r w:rsidRPr="00D02ED3">
        <w:rPr>
          <w:rFonts w:ascii="仿宋" w:eastAsia="仿宋" w:hAnsi="仿宋" w:hint="eastAsia"/>
          <w:color w:val="000000"/>
          <w:sz w:val="24"/>
          <w:szCs w:val="24"/>
        </w:rPr>
        <w:lastRenderedPageBreak/>
        <w:t>管人在复核过程中，发现双方的报表存在不符时，基金管理人和基金托管人应共同查明原因，进行调整，调整以国家有关规定为准。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基金管理人应留足充分的时间，便于基金托管人复核相关报表及报告。</w:t>
      </w:r>
    </w:p>
    <w:p w:rsidR="00455B3A" w:rsidRPr="00D02ED3" w:rsidRDefault="00455B3A">
      <w:pPr>
        <w:spacing w:line="360" w:lineRule="auto"/>
        <w:ind w:firstLineChars="200" w:firstLine="480"/>
        <w:rPr>
          <w:rFonts w:ascii="仿宋" w:eastAsia="仿宋" w:hAnsi="仿宋"/>
          <w:color w:val="000000"/>
          <w:sz w:val="24"/>
          <w:szCs w:val="24"/>
        </w:rPr>
      </w:pPr>
    </w:p>
    <w:p w:rsidR="00455B3A" w:rsidRPr="00D02ED3" w:rsidRDefault="00455B3A">
      <w:pPr>
        <w:pStyle w:val="2"/>
        <w:spacing w:line="360" w:lineRule="auto"/>
        <w:jc w:val="center"/>
        <w:rPr>
          <w:rFonts w:ascii="仿宋" w:eastAsia="仿宋" w:hAnsi="仿宋"/>
          <w:bCs w:val="0"/>
          <w:color w:val="000000"/>
          <w:sz w:val="30"/>
          <w:szCs w:val="30"/>
        </w:rPr>
      </w:pPr>
      <w:r w:rsidRPr="00D02ED3">
        <w:rPr>
          <w:rFonts w:ascii="仿宋" w:eastAsia="仿宋" w:hAnsi="仿宋" w:hint="eastAsia"/>
          <w:b w:val="0"/>
          <w:color w:val="000000"/>
          <w:sz w:val="30"/>
          <w:szCs w:val="30"/>
        </w:rPr>
        <w:br w:type="page"/>
      </w:r>
      <w:bookmarkStart w:id="24" w:name="_Toc264617149"/>
      <w:r w:rsidRPr="00D02ED3">
        <w:rPr>
          <w:rFonts w:ascii="仿宋" w:eastAsia="仿宋" w:hAnsi="仿宋" w:hint="eastAsia"/>
          <w:bCs w:val="0"/>
          <w:color w:val="000000"/>
          <w:sz w:val="30"/>
          <w:szCs w:val="30"/>
        </w:rPr>
        <w:lastRenderedPageBreak/>
        <w:t>九、基金收益分配</w:t>
      </w:r>
      <w:bookmarkEnd w:id="24"/>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基金收益分配是指按规定将基金的可分配收益按基金份额进行比例分配。</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（一）基金收益分配的原则</w:t>
      </w:r>
    </w:p>
    <w:p w:rsidR="00455B3A" w:rsidRPr="00D02ED3" w:rsidRDefault="00455B3A">
      <w:pPr>
        <w:spacing w:line="360" w:lineRule="auto"/>
        <w:ind w:firstLineChars="200" w:firstLine="480"/>
        <w:rPr>
          <w:rFonts w:ascii="仿宋" w:eastAsia="仿宋" w:hAnsi="仿宋"/>
          <w:sz w:val="24"/>
          <w:szCs w:val="24"/>
        </w:rPr>
      </w:pPr>
      <w:r w:rsidRPr="00D02ED3">
        <w:rPr>
          <w:rFonts w:ascii="仿宋" w:eastAsia="仿宋" w:hAnsi="仿宋" w:hint="eastAsia"/>
          <w:sz w:val="24"/>
          <w:szCs w:val="24"/>
        </w:rPr>
        <w:t>1、在封闭期内，本基金不进行收益分配。</w:t>
      </w:r>
    </w:p>
    <w:p w:rsidR="00455B3A" w:rsidRPr="00D02ED3" w:rsidRDefault="00455B3A">
      <w:pPr>
        <w:spacing w:line="360" w:lineRule="auto"/>
        <w:ind w:firstLineChars="200" w:firstLine="480"/>
        <w:rPr>
          <w:rFonts w:ascii="仿宋" w:eastAsia="仿宋" w:hAnsi="仿宋"/>
          <w:sz w:val="24"/>
          <w:szCs w:val="24"/>
        </w:rPr>
      </w:pPr>
      <w:r w:rsidRPr="00D02ED3">
        <w:rPr>
          <w:rFonts w:ascii="仿宋" w:eastAsia="仿宋" w:hAnsi="仿宋" w:hint="eastAsia"/>
          <w:sz w:val="24"/>
          <w:szCs w:val="24"/>
        </w:rPr>
        <w:t>2、转换为上市开放式基金（LOF）后，在符合有关基金分红条件的前提下，本基金每年收益分配次数最多为12次，每次收益分配比例不得低于该次可供分配利润的25%；</w:t>
      </w:r>
    </w:p>
    <w:p w:rsidR="00455B3A" w:rsidRPr="00D02ED3" w:rsidRDefault="00455B3A">
      <w:pPr>
        <w:spacing w:line="360" w:lineRule="auto"/>
        <w:ind w:firstLineChars="200" w:firstLine="480"/>
        <w:rPr>
          <w:rFonts w:ascii="仿宋" w:eastAsia="仿宋" w:hAnsi="仿宋"/>
          <w:sz w:val="24"/>
          <w:szCs w:val="24"/>
        </w:rPr>
      </w:pPr>
      <w:r w:rsidRPr="00D02ED3">
        <w:rPr>
          <w:rFonts w:ascii="仿宋" w:eastAsia="仿宋" w:hAnsi="仿宋" w:hint="eastAsia"/>
          <w:sz w:val="24"/>
          <w:szCs w:val="24"/>
        </w:rPr>
        <w:t>3、本基金收益分配方式分两种：现金分红与红利再投资，投资者可选择现金红利或将现金红利自动转为基金份额进行再投资；若投资者不选择，本基金默认的收益分配方式是现金分红；</w:t>
      </w:r>
    </w:p>
    <w:p w:rsidR="00455B3A" w:rsidRPr="00D02ED3" w:rsidRDefault="00455B3A">
      <w:pPr>
        <w:spacing w:line="360" w:lineRule="auto"/>
        <w:ind w:firstLineChars="200" w:firstLine="480"/>
        <w:rPr>
          <w:rFonts w:ascii="仿宋" w:eastAsia="仿宋" w:hAnsi="仿宋"/>
          <w:sz w:val="24"/>
          <w:szCs w:val="24"/>
        </w:rPr>
      </w:pPr>
      <w:r w:rsidRPr="00D02ED3">
        <w:rPr>
          <w:rFonts w:ascii="仿宋" w:eastAsia="仿宋" w:hAnsi="仿宋" w:hint="eastAsia"/>
          <w:sz w:val="24"/>
          <w:szCs w:val="24"/>
        </w:rPr>
        <w:t>4、基金收益分配后基金份额净值不能低于面值；即基金收益分配基准日的基金份额净值减去每单位基金份额收益分配金额后不能低于面值。</w:t>
      </w:r>
    </w:p>
    <w:p w:rsidR="00455B3A" w:rsidRPr="00D02ED3" w:rsidRDefault="00455B3A">
      <w:pPr>
        <w:spacing w:line="360" w:lineRule="auto"/>
        <w:ind w:firstLineChars="200" w:firstLine="480"/>
        <w:rPr>
          <w:rFonts w:ascii="仿宋" w:eastAsia="仿宋" w:hAnsi="仿宋"/>
          <w:sz w:val="24"/>
          <w:szCs w:val="24"/>
        </w:rPr>
      </w:pPr>
      <w:r w:rsidRPr="00D02ED3">
        <w:rPr>
          <w:rFonts w:ascii="仿宋" w:eastAsia="仿宋" w:hAnsi="仿宋" w:hint="eastAsia"/>
          <w:sz w:val="24"/>
          <w:szCs w:val="24"/>
        </w:rPr>
        <w:t>5、每一基金份额享有同等分配权；</w:t>
      </w:r>
    </w:p>
    <w:p w:rsidR="00455B3A" w:rsidRPr="00D02ED3" w:rsidRDefault="00455B3A">
      <w:pPr>
        <w:spacing w:line="360" w:lineRule="auto"/>
        <w:ind w:firstLineChars="200" w:firstLine="480"/>
        <w:rPr>
          <w:rFonts w:ascii="仿宋" w:eastAsia="仿宋" w:hAnsi="仿宋"/>
          <w:sz w:val="24"/>
          <w:szCs w:val="24"/>
        </w:rPr>
      </w:pPr>
      <w:r w:rsidRPr="00D02ED3">
        <w:rPr>
          <w:rFonts w:ascii="仿宋" w:eastAsia="仿宋" w:hAnsi="仿宋" w:hint="eastAsia"/>
          <w:sz w:val="24"/>
          <w:szCs w:val="24"/>
        </w:rPr>
        <w:t>6、法律法规或监管机关另有规定的，从其规定。</w:t>
      </w:r>
    </w:p>
    <w:p w:rsidR="00455B3A" w:rsidRPr="00D02ED3" w:rsidRDefault="00455B3A">
      <w:pPr>
        <w:spacing w:line="360" w:lineRule="auto"/>
        <w:ind w:firstLineChars="200" w:firstLine="480"/>
        <w:rPr>
          <w:rFonts w:ascii="仿宋" w:eastAsia="仿宋" w:hAnsi="仿宋"/>
          <w:sz w:val="24"/>
          <w:szCs w:val="24"/>
        </w:rPr>
      </w:pPr>
      <w:r w:rsidRPr="00D02ED3">
        <w:rPr>
          <w:rFonts w:ascii="仿宋" w:eastAsia="仿宋" w:hAnsi="仿宋" w:hint="eastAsia"/>
          <w:sz w:val="24"/>
          <w:szCs w:val="24"/>
        </w:rPr>
        <w:t>（二）基金收益分配方案的制定和实施程序</w:t>
      </w:r>
    </w:p>
    <w:p w:rsidR="00455B3A" w:rsidRPr="00D02ED3" w:rsidRDefault="00455B3A">
      <w:pPr>
        <w:spacing w:line="360" w:lineRule="auto"/>
        <w:ind w:firstLineChars="200" w:firstLine="480"/>
        <w:rPr>
          <w:rFonts w:ascii="仿宋" w:eastAsia="仿宋" w:hAnsi="仿宋"/>
          <w:sz w:val="24"/>
          <w:szCs w:val="24"/>
        </w:rPr>
      </w:pPr>
      <w:r w:rsidRPr="00D02ED3">
        <w:rPr>
          <w:rFonts w:ascii="仿宋" w:eastAsia="仿宋" w:hAnsi="仿宋" w:hint="eastAsia"/>
          <w:sz w:val="24"/>
          <w:szCs w:val="24"/>
        </w:rPr>
        <w:t>本基金收益分配方案由基金管理人拟定，并由基金托管人复核，在2个工作日内在指定媒体公告并报中国证监会备案。</w:t>
      </w:r>
    </w:p>
    <w:p w:rsidR="00455B3A" w:rsidRPr="00D02ED3" w:rsidRDefault="00455B3A">
      <w:pPr>
        <w:spacing w:line="360" w:lineRule="auto"/>
        <w:ind w:firstLineChars="200" w:firstLine="480"/>
        <w:rPr>
          <w:rFonts w:ascii="仿宋" w:eastAsia="仿宋" w:hAnsi="仿宋"/>
          <w:sz w:val="24"/>
          <w:szCs w:val="24"/>
        </w:rPr>
      </w:pPr>
      <w:r w:rsidRPr="00D02ED3">
        <w:rPr>
          <w:rFonts w:ascii="仿宋" w:eastAsia="仿宋" w:hAnsi="仿宋" w:hint="eastAsia"/>
          <w:sz w:val="24"/>
          <w:szCs w:val="24"/>
        </w:rPr>
        <w:t>基金红利发放</w:t>
      </w:r>
      <w:proofErr w:type="gramStart"/>
      <w:r w:rsidRPr="00D02ED3">
        <w:rPr>
          <w:rFonts w:ascii="仿宋" w:eastAsia="仿宋" w:hAnsi="仿宋" w:hint="eastAsia"/>
          <w:sz w:val="24"/>
          <w:szCs w:val="24"/>
        </w:rPr>
        <w:t>日距离</w:t>
      </w:r>
      <w:proofErr w:type="gramEnd"/>
      <w:r w:rsidRPr="00D02ED3">
        <w:rPr>
          <w:rFonts w:ascii="仿宋" w:eastAsia="仿宋" w:hAnsi="仿宋" w:hint="eastAsia"/>
          <w:sz w:val="24"/>
          <w:szCs w:val="24"/>
        </w:rPr>
        <w:t>收益分配基准日（即可供分配利润计算截止日）的时间不得超过15个工作日。</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sz w:val="24"/>
          <w:szCs w:val="24"/>
        </w:rPr>
        <w:t>基金管理人向基金托管人下达收益分配的付款指令，基金托管人按指令将收益分配的全部资金划入基金管理人的指定账户。</w:t>
      </w:r>
    </w:p>
    <w:p w:rsidR="00455B3A" w:rsidRPr="00D02ED3" w:rsidRDefault="00455B3A">
      <w:pPr>
        <w:spacing w:line="360" w:lineRule="auto"/>
        <w:ind w:firstLineChars="200" w:firstLine="480"/>
        <w:rPr>
          <w:rFonts w:ascii="仿宋" w:eastAsia="仿宋" w:hAnsi="仿宋"/>
          <w:color w:val="000000"/>
          <w:sz w:val="24"/>
          <w:szCs w:val="24"/>
        </w:rPr>
      </w:pP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25" w:name="_Toc264617150"/>
      <w:r w:rsidRPr="00D02ED3">
        <w:rPr>
          <w:rFonts w:ascii="仿宋" w:eastAsia="仿宋" w:hAnsi="仿宋" w:hint="eastAsia"/>
          <w:bCs w:val="0"/>
          <w:color w:val="000000"/>
          <w:sz w:val="30"/>
          <w:szCs w:val="30"/>
        </w:rPr>
        <w:lastRenderedPageBreak/>
        <w:t>十、基金信息披露</w:t>
      </w:r>
      <w:bookmarkEnd w:id="25"/>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（一）保密义务</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1．非因基金管理人和基金托管人的原因导致保密信息被披露、泄露或公开；</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2．基金管理人和基金托管人为遵守和服从法院判决或裁定、仲裁裁决或中国证监会等监管机构的命令、决定所做出的信息披露或公开。</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（二）信息披露的内容</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的信息披露内容主要包括基金招募说明书、基金合同、托管协议、基金份额发售公告、基金合同生效公告、基金份额上市交易公告书、基金资产净值、基金份额净值、基金份额申购、赎回价格、基金定期报告（包括基金年度报告、基金半年度报告和基金季度报告）、临时报告、澄清公告、基金份额持有人大会决议、基金投资中小企业私募债券、证券公司短期公司债券、股指期货、资产支持证券的信息披露及中国证监会规定的其他信息。基金年度报告需经具有从事证券相关业务资格的会计师事务所审计后，方可披露。</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（三）基金托管人和基金管理人在信息披露中的职责和信息披露程序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1．职责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对于不需要基金托管人（或基金管理人）复核的信息，基金管理人（或基金托管人）在公告前应告知基金托管人（或基金管理人）。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基金管理人和基金托管人应积极配合、互相监督，保证按照法定方式和时限</w:t>
      </w:r>
      <w:r w:rsidRPr="00D02ED3">
        <w:rPr>
          <w:rFonts w:ascii="仿宋" w:eastAsia="仿宋" w:hAnsi="仿宋" w:hint="eastAsia"/>
          <w:color w:val="000000"/>
          <w:sz w:val="24"/>
          <w:szCs w:val="24"/>
        </w:rPr>
        <w:lastRenderedPageBreak/>
        <w:t>履行信息披露义务。</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当出现下述情况时，基金管理人和基金托管人可暂停或延迟披露基金相关信息：</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（1）基金投资所涉及的证券交易市场遇法定节假日或因其他原因暂停营业时；</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（2）因不可抗力致使基金管理人、基金托管人无法准确评估基金资产价值时；</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w:t>
      </w:r>
      <w:r w:rsidRPr="00D02ED3">
        <w:rPr>
          <w:rFonts w:ascii="仿宋" w:eastAsia="仿宋" w:hAnsi="仿宋" w:hint="eastAsia"/>
          <w:bCs/>
          <w:sz w:val="24"/>
        </w:rPr>
        <w:t>占基金相当比例的投资品种的估值出现重大转变，而基金管理人为保障基金份额持有人的利益，决定延迟估值；</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（4）出现基金管理人认为属于会导致基金管理人不能出售或评估基金资产的紧急事故的任何情况；</w:t>
      </w:r>
    </w:p>
    <w:p w:rsidR="00455B3A" w:rsidRPr="00D02ED3" w:rsidRDefault="00455B3A">
      <w:pPr>
        <w:spacing w:line="360" w:lineRule="auto"/>
        <w:ind w:firstLineChars="200" w:firstLine="480"/>
        <w:rPr>
          <w:rFonts w:ascii="仿宋" w:eastAsia="仿宋" w:hAnsi="仿宋"/>
          <w:color w:val="000000"/>
          <w:sz w:val="24"/>
          <w:szCs w:val="24"/>
          <w:shd w:val="pct10" w:color="auto" w:fill="FFFFFF"/>
        </w:rPr>
      </w:pPr>
      <w:r w:rsidRPr="00D02ED3">
        <w:rPr>
          <w:rFonts w:ascii="仿宋" w:eastAsia="仿宋" w:hAnsi="仿宋" w:hint="eastAsia"/>
          <w:color w:val="000000"/>
          <w:sz w:val="24"/>
          <w:szCs w:val="24"/>
        </w:rPr>
        <w:t>（5）中国证监会和基金合同认定的其它情形。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3．信息文本的存放</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26" w:name="_Toc264617151"/>
      <w:r w:rsidRPr="00D02ED3">
        <w:rPr>
          <w:rFonts w:ascii="仿宋" w:eastAsia="仿宋" w:hAnsi="仿宋" w:hint="eastAsia"/>
          <w:bCs w:val="0"/>
          <w:color w:val="000000"/>
          <w:sz w:val="30"/>
          <w:szCs w:val="30"/>
        </w:rPr>
        <w:lastRenderedPageBreak/>
        <w:t>十一、基金费用</w:t>
      </w:r>
      <w:bookmarkEnd w:id="26"/>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（一）基金管理费的计提比例和计提方法</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本基金的管理费按前一日基金资产净值的1.5%年费率计提。管理费的计算方法如下：</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H＝E×1.5%÷当年天数</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H为每日应计提的管理费</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E为前一日的基金资产净值</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（二）基金托管费的计提比例和计提方法</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基金托管费按基金资产净值的0.25%年费率计提。</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在通常情况下，基金托管费按前一日基金资产净值的0.25%年费率计提。计算方法如下：</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H＝E×0.25%÷当年天数</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H为每日应计提的基金托管费</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E为前一日的基金资产净值</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托管费收入</w:t>
      </w:r>
      <w:proofErr w:type="gramStart"/>
      <w:r w:rsidRPr="00D02ED3">
        <w:rPr>
          <w:rFonts w:ascii="仿宋" w:eastAsia="仿宋" w:hAnsi="仿宋" w:hint="eastAsia"/>
          <w:bCs/>
          <w:color w:val="000000"/>
          <w:sz w:val="24"/>
        </w:rPr>
        <w:t>帐户</w:t>
      </w:r>
      <w:proofErr w:type="gramEnd"/>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户    名：基金托管费收入</w:t>
      </w:r>
    </w:p>
    <w:p w:rsidR="00455B3A" w:rsidRPr="00D02ED3" w:rsidRDefault="00455B3A">
      <w:pPr>
        <w:spacing w:line="360" w:lineRule="auto"/>
        <w:ind w:firstLineChars="200" w:firstLine="480"/>
        <w:rPr>
          <w:rFonts w:ascii="仿宋" w:eastAsia="仿宋" w:hAnsi="仿宋"/>
          <w:bCs/>
          <w:color w:val="000000"/>
          <w:sz w:val="24"/>
        </w:rPr>
      </w:pPr>
      <w:proofErr w:type="gramStart"/>
      <w:r w:rsidRPr="00D02ED3">
        <w:rPr>
          <w:rFonts w:ascii="仿宋" w:eastAsia="仿宋" w:hAnsi="仿宋" w:hint="eastAsia"/>
          <w:bCs/>
          <w:color w:val="000000"/>
          <w:sz w:val="24"/>
        </w:rPr>
        <w:t>账</w:t>
      </w:r>
      <w:proofErr w:type="gramEnd"/>
      <w:r w:rsidRPr="00D02ED3">
        <w:rPr>
          <w:rFonts w:ascii="仿宋" w:eastAsia="仿宋" w:hAnsi="仿宋" w:hint="eastAsia"/>
          <w:bCs/>
          <w:color w:val="000000"/>
          <w:sz w:val="24"/>
        </w:rPr>
        <w:t xml:space="preserve">    号：10010117380000001 </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开户银行：中国光大银行（系统支付号303100000006）</w:t>
      </w:r>
    </w:p>
    <w:p w:rsidR="00455B3A" w:rsidRPr="00D02ED3" w:rsidRDefault="00455B3A">
      <w:pPr>
        <w:spacing w:line="360" w:lineRule="auto"/>
        <w:ind w:firstLineChars="200" w:firstLine="480"/>
        <w:rPr>
          <w:rFonts w:ascii="仿宋" w:eastAsia="仿宋" w:hAnsi="仿宋"/>
          <w:color w:val="000000"/>
          <w:sz w:val="24"/>
          <w:szCs w:val="24"/>
          <w:shd w:val="pct10" w:color="auto" w:fill="FFFFFF"/>
        </w:rPr>
      </w:pPr>
      <w:r w:rsidRPr="00D02ED3">
        <w:rPr>
          <w:rFonts w:ascii="仿宋" w:eastAsia="仿宋" w:hAnsi="仿宋" w:hint="eastAsia"/>
          <w:color w:val="000000"/>
          <w:sz w:val="24"/>
          <w:szCs w:val="24"/>
        </w:rPr>
        <w:t>（三）证券交易或结算费用、基金财产划拨支付的银行费用、证券账户开户费用及银行账户维护费用、基金上市初费和月费、基金合同生效后的信息披露费用、基金份额持有人大会费用、基金合同生效后与基金有关的会计师费和律师费等根据有关法律法规、基金合同及相应协议的规定，列入当期基金费用。</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lastRenderedPageBreak/>
        <w:t>（五）不列入基金费用的项目</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合同生效前的律师费、会计师费、信息披露费用以及其他费用不得从基金财产中列支。基金管理人与基金托管人因未履行或未完全履行义务导致的费用支出或基金财产的损失，以及处理与基金运作无关的事项发生的费用等不列入基金费用。</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（六）基金管理费、基金托管费的调整</w:t>
      </w:r>
    </w:p>
    <w:p w:rsidR="00455B3A" w:rsidRPr="00D02ED3" w:rsidRDefault="00455B3A">
      <w:pPr>
        <w:spacing w:line="360" w:lineRule="auto"/>
        <w:ind w:firstLineChars="200" w:firstLine="480"/>
        <w:rPr>
          <w:rFonts w:ascii="仿宋" w:eastAsia="仿宋" w:hAnsi="仿宋"/>
          <w:color w:val="000000"/>
          <w:sz w:val="24"/>
          <w:szCs w:val="24"/>
          <w:shd w:val="pct10" w:color="auto" w:fill="FFFFFF"/>
        </w:rPr>
      </w:pPr>
      <w:r w:rsidRPr="00D02ED3">
        <w:rPr>
          <w:rFonts w:ascii="仿宋" w:eastAsia="仿宋" w:hAnsi="仿宋" w:hint="eastAsia"/>
          <w:color w:val="000000"/>
          <w:sz w:val="24"/>
          <w:szCs w:val="24"/>
        </w:rPr>
        <w:t>基金管理人和基金托管人可根据基金发展情况</w:t>
      </w:r>
      <w:r w:rsidRPr="00D02ED3">
        <w:rPr>
          <w:rFonts w:ascii="仿宋" w:eastAsia="仿宋" w:hAnsi="仿宋" w:hint="eastAsia"/>
          <w:color w:val="000000"/>
          <w:kern w:val="0"/>
          <w:sz w:val="24"/>
        </w:rPr>
        <w:t>调低</w:t>
      </w:r>
      <w:r w:rsidRPr="00D02ED3">
        <w:rPr>
          <w:rFonts w:ascii="仿宋" w:eastAsia="仿宋" w:hAnsi="仿宋" w:hint="eastAsia"/>
          <w:color w:val="000000"/>
          <w:sz w:val="24"/>
          <w:szCs w:val="24"/>
        </w:rPr>
        <w:t>基金管理费率、基金托管费率</w:t>
      </w:r>
      <w:r w:rsidRPr="00D02ED3">
        <w:rPr>
          <w:rFonts w:ascii="仿宋" w:eastAsia="仿宋" w:hAnsi="仿宋" w:hint="eastAsia"/>
          <w:color w:val="000000"/>
          <w:kern w:val="0"/>
          <w:sz w:val="24"/>
        </w:rPr>
        <w:t>，无须召开基金份额持有人大会</w:t>
      </w:r>
      <w:r w:rsidRPr="00D02ED3">
        <w:rPr>
          <w:rFonts w:ascii="仿宋" w:eastAsia="仿宋" w:hAnsi="仿宋" w:hint="eastAsia"/>
          <w:color w:val="000000"/>
          <w:sz w:val="24"/>
          <w:szCs w:val="24"/>
        </w:rPr>
        <w:t>。提高上述费率需经基金份额持有人大会决议通过。基金管理人必须最迟于新的费率实施日前依照《信息披露办法》的有关规定在指定媒体上刊登公告。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（七）基金管理费、基金托管费的复核程序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基金托管人对基金管理人计提的基金管理费、基金托管费等，根据本托管协议和基金合同的有关规定进行复核。</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（八）违规处理方式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27" w:name="_Toc264617152"/>
      <w:r w:rsidRPr="00D02ED3">
        <w:rPr>
          <w:rFonts w:ascii="仿宋" w:eastAsia="仿宋" w:hAnsi="仿宋" w:hint="eastAsia"/>
          <w:bCs w:val="0"/>
          <w:color w:val="000000"/>
          <w:sz w:val="30"/>
          <w:szCs w:val="30"/>
        </w:rPr>
        <w:lastRenderedPageBreak/>
        <w:t>十二、基金份额持有人名册的保管</w:t>
      </w:r>
      <w:bookmarkEnd w:id="27"/>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基金份额持有人名册至少应包括基金份额持有人的名称和持有的基金份额。基金份额持有人名册由基金注册登记机构根据基金管理人的指令编制和保管.基金管理人应定期向基金托管人提供基金份额持有人名册，</w:t>
      </w:r>
      <w:r w:rsidRPr="00D02ED3">
        <w:rPr>
          <w:rFonts w:ascii="仿宋" w:eastAsia="仿宋" w:hAnsi="仿宋" w:cs="Arial" w:hint="eastAsia"/>
          <w:color w:val="000000"/>
          <w:sz w:val="24"/>
          <w:szCs w:val="24"/>
        </w:rPr>
        <w:t>基金托管人得到基金管理人提供的持有人名册后与基金管理人</w:t>
      </w:r>
      <w:r w:rsidRPr="00D02ED3">
        <w:rPr>
          <w:rFonts w:ascii="仿宋" w:eastAsia="仿宋" w:hAnsi="仿宋" w:hint="eastAsia"/>
          <w:color w:val="000000"/>
          <w:sz w:val="24"/>
          <w:szCs w:val="24"/>
        </w:rPr>
        <w:t>分别进行保管。保管方式可以采用电子或文档的形式，保存期不少于15年，法律法规另有规定或有权机关另有要求的除外。如不能妥善保管，则按相关法规承担责任。</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28" w:name="_Toc264617153"/>
      <w:r w:rsidRPr="00D02ED3">
        <w:rPr>
          <w:rFonts w:ascii="仿宋" w:eastAsia="仿宋" w:hAnsi="仿宋" w:hint="eastAsia"/>
          <w:bCs w:val="0"/>
          <w:color w:val="000000"/>
          <w:sz w:val="30"/>
          <w:szCs w:val="30"/>
        </w:rPr>
        <w:lastRenderedPageBreak/>
        <w:t>十三、基金有关文件档案的保存</w:t>
      </w:r>
      <w:bookmarkEnd w:id="28"/>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（一）档案保存</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（二）合同档案的建立</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1．基金管理人签署重大合同文本后，应及时将合同文本正本送达基金托管人处。</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2．基金管理人应及时将与本基金账务处理、资金划拨等有关的合同、协议传真基金托管人。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（三）变更与协助</w:t>
      </w:r>
    </w:p>
    <w:p w:rsidR="00455B3A" w:rsidRPr="00D02ED3" w:rsidRDefault="00455B3A">
      <w:pPr>
        <w:spacing w:line="360" w:lineRule="auto"/>
        <w:ind w:firstLineChars="200" w:firstLine="480"/>
        <w:rPr>
          <w:rFonts w:ascii="仿宋" w:eastAsia="仿宋" w:hAnsi="仿宋"/>
          <w:color w:val="000000"/>
          <w:sz w:val="24"/>
          <w:szCs w:val="24"/>
        </w:rPr>
      </w:pPr>
      <w:proofErr w:type="gramStart"/>
      <w:r w:rsidRPr="00D02ED3">
        <w:rPr>
          <w:rFonts w:ascii="仿宋" w:eastAsia="仿宋" w:hAnsi="仿宋" w:hint="eastAsia"/>
          <w:color w:val="000000"/>
          <w:sz w:val="24"/>
          <w:szCs w:val="24"/>
        </w:rPr>
        <w:t>若基金</w:t>
      </w:r>
      <w:proofErr w:type="gramEnd"/>
      <w:r w:rsidRPr="00D02ED3">
        <w:rPr>
          <w:rFonts w:ascii="仿宋" w:eastAsia="仿宋" w:hAnsi="仿宋" w:hint="eastAsia"/>
          <w:color w:val="000000"/>
          <w:sz w:val="24"/>
          <w:szCs w:val="24"/>
        </w:rPr>
        <w:t>管理人/基金托管人发生变更，未变更的一方有义务协助变更后的接任人接收相应文件。</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（四）基金管理人和基金托管人应按各自职责完整保存原始凭证、记账凭证、基金账册、交易记录和重要合同等，承担保密义务并保存至少15年以上。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29" w:name="_Toc264617154"/>
      <w:r w:rsidRPr="00D02ED3">
        <w:rPr>
          <w:rFonts w:ascii="仿宋" w:eastAsia="仿宋" w:hAnsi="仿宋" w:hint="eastAsia"/>
          <w:bCs w:val="0"/>
          <w:color w:val="000000"/>
          <w:sz w:val="30"/>
          <w:szCs w:val="30"/>
        </w:rPr>
        <w:lastRenderedPageBreak/>
        <w:t>十四、基金管理人和基金托管人的更换</w:t>
      </w:r>
      <w:bookmarkEnd w:id="29"/>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（一）基金管理人的更换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1、基金管理人的更换条件</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有下列情形之一的，经中国证监会批准，可以更换基金管理人：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 被依法取消基金管理人资格；</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 被基金份额持有人大会解任；</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 依法解散、被依法撤销或被依法宣告破产；</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 法律法规和《基金合同》规定的其它情形。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2、更换基金管理人的程序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（1）提名：</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管理人由基金托管人或由单独或合计持有10%以上（含10%）基金份额的基金份额持有人提名；</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（2）决议：基金份额持有人大会在基金管理人职责终止后6个月内对被提名的基金管理人形成决议，该决议需经参加大会的基金份额持有人所持表决权的2/3以上（含2/3）表决通过；</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（3）临时基金管理人：</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管理人产生之前，由中国证监会指定临时基金管理人；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（4）备案：基金份额持有人大会选任基金管理人的决议须报中国证监会备案；</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（5）公告：基金管理人更换后，由基金托管人在决议生效后2日内在指定媒体公告。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（6）交接：基金管理人职责终止的，基金管理人应妥善保管基金管理业务资料，及时向临时基金管理人或</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管理人办理基金管理业务的移交手续，临时基金管理人或</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管理人应及时接收。</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管理人应与基金托管人核对基金资产总值；</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（7）审计：基金管理人职责终止的，应当按照法律法规规定聘请会计师事务所对基金财产进行审计，并将审计结果予以公告，同时报中国证监会备案；</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（8）基金名称变更：基金管理人更换后，如果原任或</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管理人要求，应按其要求替换或删除基金名称中与</w:t>
      </w:r>
      <w:proofErr w:type="gramStart"/>
      <w:r w:rsidRPr="00D02ED3">
        <w:rPr>
          <w:rFonts w:ascii="仿宋" w:eastAsia="仿宋" w:hAnsi="仿宋" w:hint="eastAsia"/>
          <w:color w:val="000000"/>
          <w:sz w:val="24"/>
          <w:szCs w:val="24"/>
        </w:rPr>
        <w:t>原基金</w:t>
      </w:r>
      <w:proofErr w:type="gramEnd"/>
      <w:r w:rsidRPr="00D02ED3">
        <w:rPr>
          <w:rFonts w:ascii="仿宋" w:eastAsia="仿宋" w:hAnsi="仿宋" w:hint="eastAsia"/>
          <w:color w:val="000000"/>
          <w:sz w:val="24"/>
          <w:szCs w:val="24"/>
        </w:rPr>
        <w:t>管理人有关的名称字样。</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lastRenderedPageBreak/>
        <w:t>3、原任基金管理人职责终止后，</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管理人或基金临时管理人接受基金管理业务前，原任基金管理人和基金托管人需采取审慎措施确保基金财产的安全，不对基金份额持有人的利益造成损失，并有义务协助</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管理人或临时基金管理人尽快恢复基金财产的投资运作。</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（二）基金托管人的更换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1、基金托管人的更换条件</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有下列情形之一的，经中国证监会批准，可以更换基金托管人：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 被依法取消基金托管人资格；</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 被基金份额持有人大会解任；</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 依法解散、被依法撤销或被依法宣告破产；</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 法律法规和《基金合同》规定的其它情形。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2、更换基金托管人的程序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（1）提名：</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托管人由基金管理人或由单独或合计持有10%以上（含10%）基金份额的基金持有人提名；</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（2）决议：基金份额持有人大会在基金托管人职责终止后6个月内对被提名的基金托管人形成决议，该决议需经参加大会的基金份额持有人所持表决权的2/3以上（含2/3）表决通过；</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（3）临时基金托管人：</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托管人产生之前，由中国证监会指定临时基金托管人；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（4）备案：基金份额持有人大会更换基金托管人的决议须报中国证监会备案；</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（5）公告：基金托管人更换后，由基金管理人在决议生效后2日内在指定媒体公告。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（6）交接：基金托管人职责终止的，应当妥善保管基金财产和基金托管业务资料，及时办理基金财产和基金托管业务的移交手续，</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托管人或者临时基金托管人应当及时接收。</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 xml:space="preserve">托管人与基金管理人核对基金资产总值； </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（7）审计：基金托管人职责终止的，应当按照法律法规规定聘请会计师事务所对基金财产进行审计，并将审计结果予以公告，同时报中国证监会备案。</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w:t>
      </w:r>
      <w:proofErr w:type="gramStart"/>
      <w:r w:rsidRPr="00D02ED3">
        <w:rPr>
          <w:rFonts w:ascii="仿宋" w:eastAsia="仿宋" w:hAnsi="仿宋" w:hint="eastAsia"/>
          <w:color w:val="000000"/>
          <w:sz w:val="24"/>
          <w:szCs w:val="24"/>
        </w:rPr>
        <w:t>原基金</w:t>
      </w:r>
      <w:proofErr w:type="gramEnd"/>
      <w:r w:rsidRPr="00D02ED3">
        <w:rPr>
          <w:rFonts w:ascii="仿宋" w:eastAsia="仿宋" w:hAnsi="仿宋" w:hint="eastAsia"/>
          <w:color w:val="000000"/>
          <w:sz w:val="24"/>
          <w:szCs w:val="24"/>
        </w:rPr>
        <w:t>托管人职责终止后，</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托管人或临时基金托管人接受基金</w:t>
      </w:r>
      <w:r w:rsidRPr="00D02ED3">
        <w:rPr>
          <w:rFonts w:ascii="仿宋" w:eastAsia="仿宋" w:hAnsi="仿宋" w:hint="eastAsia"/>
          <w:color w:val="000000"/>
          <w:sz w:val="24"/>
          <w:szCs w:val="24"/>
        </w:rPr>
        <w:lastRenderedPageBreak/>
        <w:t>财产和基金托管业务前，</w:t>
      </w:r>
      <w:proofErr w:type="gramStart"/>
      <w:r w:rsidRPr="00D02ED3">
        <w:rPr>
          <w:rFonts w:ascii="仿宋" w:eastAsia="仿宋" w:hAnsi="仿宋" w:hint="eastAsia"/>
          <w:color w:val="000000"/>
          <w:sz w:val="24"/>
          <w:szCs w:val="24"/>
        </w:rPr>
        <w:t>原基金</w:t>
      </w:r>
      <w:proofErr w:type="gramEnd"/>
      <w:r w:rsidRPr="00D02ED3">
        <w:rPr>
          <w:rFonts w:ascii="仿宋" w:eastAsia="仿宋" w:hAnsi="仿宋" w:hint="eastAsia"/>
          <w:color w:val="000000"/>
          <w:sz w:val="24"/>
          <w:szCs w:val="24"/>
        </w:rPr>
        <w:t>托管人和基金管理人需采取审慎措施确保基金财产的安全，不对基金份额持有人的利益造成损失，并有义务协助</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托管人或临时基金托管人尽快交接基金资产。</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w:t>
      </w:r>
      <w:r w:rsidRPr="00D02ED3">
        <w:rPr>
          <w:rFonts w:ascii="仿宋" w:eastAsia="仿宋" w:hAnsi="仿宋" w:hint="eastAsia"/>
          <w:color w:val="000000"/>
          <w:sz w:val="24"/>
          <w:szCs w:val="24"/>
        </w:rPr>
        <w:tab/>
        <w:t>基金管理人和基金托管人的同时更换程序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1、提名：如果基金管理人和基金托管人同时更换，由单独或合计持有基金总份额10%以上（含10%）的基金份额持有人提名新的基金管理人和基金托管人；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2、基金管理人和基金托管人的更换分别按上述程序进行；</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3、公告：</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管理人和</w:t>
      </w:r>
      <w:proofErr w:type="gramStart"/>
      <w:r w:rsidRPr="00D02ED3">
        <w:rPr>
          <w:rFonts w:ascii="仿宋" w:eastAsia="仿宋" w:hAnsi="仿宋" w:hint="eastAsia"/>
          <w:color w:val="000000"/>
          <w:sz w:val="24"/>
          <w:szCs w:val="24"/>
        </w:rPr>
        <w:t>新任基金</w:t>
      </w:r>
      <w:proofErr w:type="gramEnd"/>
      <w:r w:rsidRPr="00D02ED3">
        <w:rPr>
          <w:rFonts w:ascii="仿宋" w:eastAsia="仿宋" w:hAnsi="仿宋" w:hint="eastAsia"/>
          <w:color w:val="000000"/>
          <w:sz w:val="24"/>
          <w:szCs w:val="24"/>
        </w:rPr>
        <w:t>托管人应在更换基金管理人和基金托管人的基金份额持有人大会决议生效后2日内在指定媒体上联合公告。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30" w:name="_Toc264617155"/>
      <w:r w:rsidRPr="00D02ED3">
        <w:rPr>
          <w:rFonts w:ascii="仿宋" w:eastAsia="仿宋" w:hAnsi="仿宋" w:hint="eastAsia"/>
          <w:bCs w:val="0"/>
          <w:color w:val="000000"/>
          <w:sz w:val="30"/>
          <w:szCs w:val="30"/>
        </w:rPr>
        <w:lastRenderedPageBreak/>
        <w:t>十五、禁止行为</w:t>
      </w:r>
      <w:bookmarkEnd w:id="30"/>
    </w:p>
    <w:p w:rsidR="00455B3A" w:rsidRPr="00D02ED3" w:rsidRDefault="00455B3A">
      <w:pPr>
        <w:spacing w:line="360" w:lineRule="auto"/>
        <w:ind w:firstLineChars="200" w:firstLine="480"/>
        <w:rPr>
          <w:rFonts w:ascii="仿宋" w:eastAsia="仿宋" w:hAnsi="仿宋"/>
          <w:color w:val="000000"/>
          <w:sz w:val="24"/>
          <w:szCs w:val="24"/>
          <w:shd w:val="pct10" w:color="auto" w:fill="FFFFFF"/>
        </w:rPr>
      </w:pPr>
      <w:r w:rsidRPr="00D02ED3">
        <w:rPr>
          <w:rFonts w:ascii="仿宋" w:eastAsia="仿宋" w:hAnsi="仿宋" w:hint="eastAsia"/>
          <w:color w:val="000000"/>
          <w:sz w:val="24"/>
          <w:szCs w:val="24"/>
        </w:rPr>
        <w:t>本协议当事人禁止从事的行为，包括但不限于：</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（一）基金管理人、基金托管人将其固有财产或者他人财产混同于基金财产从事证券投资。</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（二）基金管理人不公平地对待其管理的不同基金财产，基金托管人不公平地对待其托管的不同基金财产。</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（三）基金管理人、基金托管人利用基金财产或职务之便为基金份额持有人以外的第三人牟取利益。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（四）基金管理人、基金托管人向基金份额持有人违规承诺收益或者承担损失。</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（五）基金管理人、基金托管人对他人泄漏基金运作和管理过程中任何尚未按法律法规规定的方式公开披露的信息。</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（六）基金管理人在没有充足资金的情况下向基金托管人发出投资指令和赎回、分红资金的划拨指令，或违规向基金托管人发出指令。</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（七）基金管理人、基金托管人高级管理人员和其他从业人员相互兼职。</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（八）基金托管人私自动用或处分基金财产，根据基金管理人的合法指令、基金合同或托管协议的规定进行处分的除外。</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（九）基金管理人、基金托管人侵占、挪用基金财产。</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（十）基金管理人、基金托管人泄露因职务便利获取的未公开信息、利用该信息从事或者明示、暗示他人从事相关的交易活动。</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（十一）基金管理人、基金托管人玩忽职守，不按照规定履行职责。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（十二）基金财产用于下列投资或者活动：</w:t>
      </w:r>
    </w:p>
    <w:p w:rsidR="00455B3A" w:rsidRPr="00D02ED3" w:rsidRDefault="00455B3A">
      <w:pPr>
        <w:spacing w:line="360" w:lineRule="auto"/>
        <w:ind w:firstLineChars="200" w:firstLine="480"/>
        <w:rPr>
          <w:rFonts w:ascii="仿宋" w:eastAsia="仿宋" w:hAnsi="仿宋"/>
          <w:color w:val="000000"/>
          <w:sz w:val="24"/>
          <w:szCs w:val="21"/>
        </w:rPr>
      </w:pPr>
      <w:r w:rsidRPr="00D02ED3">
        <w:rPr>
          <w:rFonts w:ascii="仿宋" w:eastAsia="仿宋" w:hAnsi="仿宋" w:hint="eastAsia"/>
          <w:color w:val="000000"/>
          <w:sz w:val="24"/>
          <w:szCs w:val="21"/>
        </w:rPr>
        <w:t>（1）承销证券；</w:t>
      </w:r>
    </w:p>
    <w:p w:rsidR="00455B3A" w:rsidRPr="00D02ED3" w:rsidRDefault="00455B3A">
      <w:pPr>
        <w:spacing w:line="360" w:lineRule="auto"/>
        <w:ind w:firstLineChars="200" w:firstLine="480"/>
        <w:rPr>
          <w:rFonts w:ascii="仿宋" w:eastAsia="仿宋" w:hAnsi="仿宋"/>
          <w:color w:val="000000"/>
          <w:sz w:val="24"/>
          <w:szCs w:val="21"/>
        </w:rPr>
      </w:pPr>
      <w:r w:rsidRPr="00D02ED3">
        <w:rPr>
          <w:rFonts w:ascii="仿宋" w:eastAsia="仿宋" w:hAnsi="仿宋" w:hint="eastAsia"/>
          <w:color w:val="000000"/>
          <w:sz w:val="24"/>
          <w:szCs w:val="21"/>
        </w:rPr>
        <w:t>（2）违反规定向他人贷款或者提供担保；</w:t>
      </w:r>
    </w:p>
    <w:p w:rsidR="00455B3A" w:rsidRPr="00D02ED3" w:rsidRDefault="00455B3A">
      <w:pPr>
        <w:spacing w:line="360" w:lineRule="auto"/>
        <w:ind w:firstLineChars="200" w:firstLine="480"/>
        <w:rPr>
          <w:rFonts w:ascii="仿宋" w:eastAsia="仿宋" w:hAnsi="仿宋"/>
          <w:color w:val="000000"/>
          <w:sz w:val="24"/>
          <w:szCs w:val="21"/>
        </w:rPr>
      </w:pPr>
      <w:r w:rsidRPr="00D02ED3">
        <w:rPr>
          <w:rFonts w:ascii="仿宋" w:eastAsia="仿宋" w:hAnsi="仿宋" w:hint="eastAsia"/>
          <w:color w:val="000000"/>
          <w:sz w:val="24"/>
          <w:szCs w:val="21"/>
        </w:rPr>
        <w:t>（3）从事承担无限责任的投资；</w:t>
      </w:r>
    </w:p>
    <w:p w:rsidR="00455B3A" w:rsidRPr="00D02ED3" w:rsidRDefault="00455B3A">
      <w:pPr>
        <w:spacing w:line="360" w:lineRule="auto"/>
        <w:ind w:firstLineChars="200" w:firstLine="480"/>
        <w:rPr>
          <w:rFonts w:ascii="仿宋" w:eastAsia="仿宋" w:hAnsi="仿宋"/>
          <w:color w:val="000000"/>
          <w:sz w:val="24"/>
          <w:szCs w:val="21"/>
        </w:rPr>
      </w:pPr>
      <w:r w:rsidRPr="00D02ED3">
        <w:rPr>
          <w:rFonts w:ascii="仿宋" w:eastAsia="仿宋" w:hAnsi="仿宋" w:hint="eastAsia"/>
          <w:color w:val="000000"/>
          <w:sz w:val="24"/>
          <w:szCs w:val="21"/>
        </w:rPr>
        <w:t>（4）买卖其他基金份额，但是中国证监会另有规定的除外；</w:t>
      </w:r>
    </w:p>
    <w:p w:rsidR="00455B3A" w:rsidRPr="00D02ED3" w:rsidRDefault="00455B3A">
      <w:pPr>
        <w:spacing w:line="360" w:lineRule="auto"/>
        <w:ind w:firstLineChars="200" w:firstLine="480"/>
        <w:rPr>
          <w:rFonts w:ascii="仿宋" w:eastAsia="仿宋" w:hAnsi="仿宋"/>
          <w:color w:val="000000"/>
          <w:sz w:val="24"/>
          <w:szCs w:val="21"/>
        </w:rPr>
      </w:pPr>
      <w:r w:rsidRPr="00D02ED3">
        <w:rPr>
          <w:rFonts w:ascii="仿宋" w:eastAsia="仿宋" w:hAnsi="仿宋" w:hint="eastAsia"/>
          <w:color w:val="000000"/>
          <w:sz w:val="24"/>
          <w:szCs w:val="21"/>
        </w:rPr>
        <w:t>（5）向其基金管理人、基金托管人出资；</w:t>
      </w:r>
    </w:p>
    <w:p w:rsidR="00455B3A" w:rsidRPr="00D02ED3" w:rsidRDefault="00455B3A">
      <w:pPr>
        <w:spacing w:line="360" w:lineRule="auto"/>
        <w:ind w:firstLineChars="200" w:firstLine="480"/>
        <w:rPr>
          <w:rFonts w:ascii="仿宋" w:eastAsia="仿宋" w:hAnsi="仿宋"/>
          <w:color w:val="000000"/>
          <w:sz w:val="24"/>
          <w:szCs w:val="21"/>
        </w:rPr>
      </w:pPr>
      <w:r w:rsidRPr="00D02ED3">
        <w:rPr>
          <w:rFonts w:ascii="仿宋" w:eastAsia="仿宋" w:hAnsi="仿宋" w:hint="eastAsia"/>
          <w:color w:val="000000"/>
          <w:sz w:val="24"/>
          <w:szCs w:val="21"/>
        </w:rPr>
        <w:t>（6）从事内幕交易、操纵证券交易价格及其他不正当的证券交易活动；</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1"/>
        </w:rPr>
        <w:lastRenderedPageBreak/>
        <w:t>（7）依照法律法规有关规定，由中国证监会规定禁止的其他活动。</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（十三）法律法规和基金合同禁止的其他行为，以及依照法律、行政法规有关规定，由国务院证券监督管理机构规定禁止基金管理人、基金托管人从事的其他行为。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法律法规和监管部门取消上述禁止性规定的，则本基金不受上述相关限制。</w:t>
      </w:r>
    </w:p>
    <w:p w:rsidR="00455B3A" w:rsidRPr="00D02ED3" w:rsidRDefault="00455B3A">
      <w:pPr>
        <w:pStyle w:val="2"/>
        <w:spacing w:line="360" w:lineRule="auto"/>
        <w:jc w:val="center"/>
        <w:rPr>
          <w:rFonts w:ascii="仿宋" w:eastAsia="仿宋" w:hAnsi="仿宋"/>
          <w:bCs w:val="0"/>
          <w:color w:val="000000"/>
          <w:sz w:val="30"/>
          <w:szCs w:val="30"/>
        </w:rPr>
      </w:pPr>
      <w:r w:rsidRPr="00D02ED3">
        <w:rPr>
          <w:rFonts w:ascii="仿宋" w:eastAsia="仿宋" w:hAnsi="仿宋" w:hint="eastAsia"/>
          <w:b w:val="0"/>
          <w:bCs w:val="0"/>
          <w:color w:val="000000"/>
          <w:sz w:val="24"/>
          <w:szCs w:val="24"/>
        </w:rPr>
        <w:br w:type="page"/>
      </w:r>
      <w:bookmarkStart w:id="31" w:name="_Toc264617156"/>
      <w:r w:rsidRPr="00D02ED3">
        <w:rPr>
          <w:rFonts w:ascii="仿宋" w:eastAsia="仿宋" w:hAnsi="仿宋" w:hint="eastAsia"/>
          <w:bCs w:val="0"/>
          <w:color w:val="000000"/>
          <w:sz w:val="30"/>
          <w:szCs w:val="30"/>
        </w:rPr>
        <w:lastRenderedPageBreak/>
        <w:t>十六、托管协议的变更、终止与基金财产的清算</w:t>
      </w:r>
      <w:bookmarkEnd w:id="31"/>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（一）托管协议的变更程序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本协议双方当事人经协商一致，可以对协议进行修改。修改后的新协议，其内容不得与基金合同的规定有任何冲突。基金托管协议的变更报中国</w:t>
      </w:r>
      <w:r w:rsidRPr="00D02ED3">
        <w:rPr>
          <w:rFonts w:ascii="仿宋" w:eastAsia="仿宋" w:hAnsi="仿宋" w:hint="eastAsia"/>
          <w:color w:val="000000"/>
          <w:spacing w:val="6"/>
          <w:sz w:val="24"/>
        </w:rPr>
        <w:t>备案后执行</w:t>
      </w:r>
      <w:r w:rsidRPr="00D02ED3">
        <w:rPr>
          <w:rFonts w:ascii="仿宋" w:eastAsia="仿宋" w:hAnsi="仿宋" w:hint="eastAsia"/>
          <w:color w:val="000000"/>
          <w:sz w:val="24"/>
          <w:szCs w:val="24"/>
        </w:rPr>
        <w:t>。</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（二）基金托管协议终止出现的情形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1．基金合同终止；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2．基金托管人解散、依法被撤销、破产或由其他基金托管人接管基金资产；</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3．基金管理人解散、依法被撤销、破产或由其他基金管理人接管基金管理权；</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4．发生法律法规或基金合同规定的终止事项。</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（三）基金财产的清算</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1．基金财产清算组</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（1）自出现基金合同终止事由之日起30个工作日内成立清算组，基金管理人组织基金财产清算组在中国证监会的监督下进行基金清算。</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（2）基金财产清算组成员由基金管理人、基金托管人、具有从事证券相关业务资格的注册会计师、律师以及中国证监会指定的人员组成。基金财产清算组可以聘用必要的工作人员。</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（3）在基金财产清算过程中，基金管理人和基金托管人应各自履行职责，继续忠实、勤勉、尽责地履行基金合同和本托管协议规定的义务，维护各类基金份额持有人的合法权益。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（4）基金财产清算组负责基金财产的保管、清理、估价、变现和分配。基金财产清算组可以依法进行必要的民事活动。</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2．基金财产清算程序</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基金合同终止，应当按法律法规和基金合同的有关规定对基金财产进行清算。基金财产清算程序主要包括：</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（1）《基金合同》终止情形出现时，由基金财产清算小组统一接管基金；</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（2）对基金财产和债权债务进行清理和确认；</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lastRenderedPageBreak/>
        <w:t>（3）对基金财产进行估值和变现；</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（4）制作清算报告；</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（5）聘请会计师事务所对清算报告进行外部审计，聘请律师事务所对清算报告出具法律意见书；</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（6）将清算报告报中国证监会备案并公告；</w:t>
      </w:r>
    </w:p>
    <w:p w:rsidR="00455B3A" w:rsidRPr="00D02ED3" w:rsidRDefault="00455B3A">
      <w:pPr>
        <w:spacing w:line="360" w:lineRule="auto"/>
        <w:ind w:firstLineChars="200" w:firstLine="480"/>
        <w:rPr>
          <w:rFonts w:ascii="仿宋" w:eastAsia="仿宋" w:hAnsi="仿宋"/>
          <w:bCs/>
          <w:color w:val="000000"/>
          <w:sz w:val="24"/>
        </w:rPr>
      </w:pPr>
      <w:r w:rsidRPr="00D02ED3">
        <w:rPr>
          <w:rFonts w:ascii="仿宋" w:eastAsia="仿宋" w:hAnsi="仿宋" w:hint="eastAsia"/>
          <w:bCs/>
          <w:color w:val="000000"/>
          <w:sz w:val="24"/>
        </w:rPr>
        <w:t>（7）对基金财产进行分配。</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3．清算费用</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清算费用是指基金财产清算组在进行基金财产清算过程中发生的所有合理费用，清算费用由基金财产清算组优先从基金财产中支付。</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4．基金财产按下列顺序清偿：</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(1)支付清算费用；</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(2)交纳所欠税款；</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(3)清偿基金债务；</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(4)按基金份额持有人持有的基金份额比例进行分配。</w:t>
      </w:r>
    </w:p>
    <w:p w:rsidR="00455B3A" w:rsidRPr="00D02ED3" w:rsidRDefault="00455B3A">
      <w:pPr>
        <w:spacing w:line="360" w:lineRule="auto"/>
        <w:ind w:firstLineChars="200" w:firstLine="480"/>
        <w:rPr>
          <w:rFonts w:ascii="仿宋" w:eastAsia="仿宋" w:hAnsi="仿宋"/>
          <w:bCs/>
          <w:sz w:val="24"/>
        </w:rPr>
      </w:pPr>
      <w:r w:rsidRPr="00D02ED3">
        <w:rPr>
          <w:rFonts w:ascii="仿宋" w:eastAsia="仿宋" w:hAnsi="仿宋" w:hint="eastAsia"/>
          <w:bCs/>
          <w:sz w:val="24"/>
        </w:rPr>
        <w:t>基金财产未按前款(1)－(3)项规定清偿前，不分配给基金份额持有人。</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5．基金财产清算的公告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6．基金财产清算账册及文件的保存</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基金财产清算账册及有关文件由基金托管人保存15年以上。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32" w:name="_Toc264617157"/>
      <w:r w:rsidRPr="00D02ED3">
        <w:rPr>
          <w:rFonts w:ascii="仿宋" w:eastAsia="仿宋" w:hAnsi="仿宋" w:hint="eastAsia"/>
          <w:bCs w:val="0"/>
          <w:color w:val="000000"/>
          <w:sz w:val="30"/>
          <w:szCs w:val="30"/>
        </w:rPr>
        <w:lastRenderedPageBreak/>
        <w:t>十七、违约责任</w:t>
      </w:r>
      <w:bookmarkEnd w:id="32"/>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（一）基金管理人、基金托管人不履行本协议或履行本协议不符合约定的，应当承担违约责任。</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一方当事人违约，给另一方当事人造成损失的，应就损失进行赔偿；给基金财产造成损失的，应就损失进行赔偿，另一方当事人有权利及义务代表基金向违约方追偿。但是如发生下列情况，当事人可以免责：</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1．不可抗力；</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2．基金管理人和/或基金托管人按照当时有效的法律法规或中国证监会的规定作为或不作为而造成的损失等；</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3．基金管理人由于按照基金合同规定的投资原则行使或不行使其投资权而造成的损失等；</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4．</w:t>
      </w:r>
      <w:r w:rsidRPr="00D02ED3">
        <w:rPr>
          <w:rFonts w:ascii="仿宋" w:eastAsia="仿宋" w:hAnsi="仿宋" w:hint="eastAsia"/>
          <w:bCs/>
          <w:sz w:val="24"/>
        </w:rPr>
        <w:t>基金托管人对于不在其能控制范围内的基金财产中证券、债券等有价证券等实物的毁损造成的损失。</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（五）违约行为虽已发生，但本托管协议能够继续履行的，在最大限度地保护基金份额持有人利益的前提下，基金管理人和基金托管人应当继续履行本协议。</w:t>
      </w:r>
      <w:proofErr w:type="gramStart"/>
      <w:r w:rsidRPr="00D02ED3">
        <w:rPr>
          <w:rFonts w:ascii="仿宋" w:eastAsia="仿宋" w:hAnsi="仿宋" w:hint="eastAsia"/>
          <w:color w:val="000000"/>
          <w:sz w:val="24"/>
          <w:szCs w:val="24"/>
        </w:rPr>
        <w:t>若基金</w:t>
      </w:r>
      <w:proofErr w:type="gramEnd"/>
      <w:r w:rsidRPr="00D02ED3">
        <w:rPr>
          <w:rFonts w:ascii="仿宋" w:eastAsia="仿宋" w:hAnsi="仿宋" w:hint="eastAsia"/>
          <w:color w:val="000000"/>
          <w:sz w:val="24"/>
          <w:szCs w:val="24"/>
        </w:rPr>
        <w:t>管理人或基金托管人因履行本协议而被起诉，另一方应提供合理的必要支持。</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w:t>
      </w:r>
      <w:r w:rsidRPr="00D02ED3">
        <w:rPr>
          <w:rFonts w:ascii="仿宋" w:eastAsia="仿宋" w:hAnsi="仿宋" w:hint="eastAsia"/>
          <w:color w:val="000000"/>
          <w:sz w:val="24"/>
          <w:szCs w:val="24"/>
        </w:rPr>
        <w:lastRenderedPageBreak/>
        <w:t>影响。</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33" w:name="_Toc264617158"/>
      <w:r w:rsidRPr="00D02ED3">
        <w:rPr>
          <w:rFonts w:ascii="仿宋" w:eastAsia="仿宋" w:hAnsi="仿宋" w:hint="eastAsia"/>
          <w:bCs w:val="0"/>
          <w:color w:val="000000"/>
          <w:sz w:val="30"/>
          <w:szCs w:val="30"/>
        </w:rPr>
        <w:lastRenderedPageBreak/>
        <w:t>十八、争议解决方式</w:t>
      </w:r>
      <w:bookmarkEnd w:id="33"/>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bCs/>
          <w:color w:val="000000"/>
          <w:sz w:val="24"/>
        </w:rPr>
        <w:t>各方当事人同意，因基金合同而产生的或与基金合同有关的一切争议，如经友好协商未能解决的，任何一方均有权将争议提交中国国际经济贸易仲裁委员会，按照该会届时有效的仲裁规则进行仲裁。仲裁地点为北京市。仲裁裁决是终局的，对各方当事人均有约束力，仲裁费用和律师费用由败诉方承担</w:t>
      </w:r>
      <w:r w:rsidRPr="00D02ED3">
        <w:rPr>
          <w:rFonts w:ascii="仿宋" w:eastAsia="仿宋" w:hAnsi="仿宋" w:hint="eastAsia"/>
          <w:color w:val="000000"/>
          <w:sz w:val="24"/>
          <w:szCs w:val="24"/>
        </w:rPr>
        <w:t>。</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争议处理期间，双方当事人应恪守基金管理人和基金托管人职责，各自继续忠实、勤勉、尽责地履行基金合同和本托管协议规定的义务，维护基金份额持有人的合法权益。</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本协议受中国法律管辖。</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34" w:name="_Toc264617159"/>
      <w:r w:rsidRPr="00D02ED3">
        <w:rPr>
          <w:rFonts w:ascii="仿宋" w:eastAsia="仿宋" w:hAnsi="仿宋" w:hint="eastAsia"/>
          <w:bCs w:val="0"/>
          <w:color w:val="000000"/>
          <w:sz w:val="30"/>
          <w:szCs w:val="30"/>
        </w:rPr>
        <w:lastRenderedPageBreak/>
        <w:t>十九、托管协议的效力</w:t>
      </w:r>
      <w:bookmarkEnd w:id="34"/>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双方对托管协议的效力约定如下：</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注册的文本为正式文本。</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（二）托管协议自基金合同生效之日起生效。托管协议的有效期自其生效之日起至基金财产清算结果报中国证监会备案并公告之日止。</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（三）托管协议自生效之日起对托管协议当事人具有同等的法律约束力。</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（四）本协议一式六份，协议双方各持二份，备存二份，上报中国证监会和银行业监督管理机构各一份，每份具有同等法律效力。</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35" w:name="_Toc264617160"/>
      <w:r w:rsidRPr="00D02ED3">
        <w:rPr>
          <w:rFonts w:ascii="仿宋" w:eastAsia="仿宋" w:hAnsi="仿宋" w:hint="eastAsia"/>
          <w:bCs w:val="0"/>
          <w:color w:val="000000"/>
          <w:sz w:val="30"/>
          <w:szCs w:val="30"/>
        </w:rPr>
        <w:lastRenderedPageBreak/>
        <w:t>二十、其他事项</w:t>
      </w:r>
      <w:bookmarkEnd w:id="35"/>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如发生有权司法机关依法冻结基金份额持有人的基金份额时，基金管理人应予以配合，承担司法协助义务。</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除本协议有明确定义外，本协议的用语定义适用基金合同的约定。本协议未尽事宜，当事人依据基金合同、有关法律法规等规定协商办理。</w:t>
      </w:r>
    </w:p>
    <w:p w:rsidR="00455B3A" w:rsidRPr="00D02ED3" w:rsidRDefault="00455B3A">
      <w:pPr>
        <w:spacing w:line="360" w:lineRule="auto"/>
        <w:ind w:firstLineChars="200" w:firstLine="480"/>
        <w:rPr>
          <w:rFonts w:ascii="仿宋" w:eastAsia="仿宋" w:hAnsi="仿宋"/>
          <w:color w:val="000000"/>
          <w:sz w:val="24"/>
          <w:szCs w:val="24"/>
        </w:rPr>
      </w:pPr>
      <w:r w:rsidRPr="00D02ED3">
        <w:rPr>
          <w:rFonts w:ascii="仿宋" w:eastAsia="仿宋" w:hAnsi="仿宋" w:hint="eastAsia"/>
          <w:color w:val="000000"/>
          <w:sz w:val="24"/>
          <w:szCs w:val="24"/>
        </w:rPr>
        <w:t xml:space="preserve"> </w:t>
      </w:r>
    </w:p>
    <w:p w:rsidR="00455B3A" w:rsidRPr="00D02ED3" w:rsidRDefault="00455B3A">
      <w:pPr>
        <w:pStyle w:val="2"/>
        <w:spacing w:line="360" w:lineRule="auto"/>
        <w:jc w:val="center"/>
        <w:rPr>
          <w:rFonts w:ascii="仿宋" w:eastAsia="仿宋" w:hAnsi="仿宋"/>
          <w:color w:val="000000"/>
        </w:rPr>
      </w:pPr>
      <w:r w:rsidRPr="00D02ED3">
        <w:rPr>
          <w:rFonts w:ascii="仿宋" w:eastAsia="仿宋" w:hAnsi="仿宋" w:hint="eastAsia"/>
          <w:b w:val="0"/>
          <w:bCs w:val="0"/>
          <w:color w:val="000000"/>
        </w:rPr>
        <w:br w:type="page"/>
      </w:r>
      <w:bookmarkStart w:id="36" w:name="_Toc264617161"/>
      <w:r w:rsidRPr="00D02ED3">
        <w:rPr>
          <w:rFonts w:ascii="仿宋" w:eastAsia="仿宋" w:hAnsi="仿宋" w:hint="eastAsia"/>
          <w:bCs w:val="0"/>
          <w:color w:val="000000"/>
          <w:sz w:val="30"/>
          <w:szCs w:val="30"/>
        </w:rPr>
        <w:lastRenderedPageBreak/>
        <w:t>二十一、托管协议的签订</w:t>
      </w:r>
      <w:bookmarkEnd w:id="36"/>
    </w:p>
    <w:p w:rsidR="00455B3A" w:rsidRPr="00D02ED3" w:rsidRDefault="00455B3A">
      <w:pPr>
        <w:spacing w:line="360" w:lineRule="auto"/>
        <w:ind w:firstLineChars="200" w:firstLine="480"/>
        <w:rPr>
          <w:rFonts w:ascii="仿宋" w:eastAsia="仿宋" w:hAnsi="仿宋"/>
          <w:color w:val="000000"/>
          <w:sz w:val="24"/>
          <w:szCs w:val="24"/>
        </w:rPr>
        <w:sectPr w:rsidR="00455B3A" w:rsidRPr="00D02ED3">
          <w:footerReference w:type="default" r:id="rId28"/>
          <w:pgSz w:w="11906" w:h="16838"/>
          <w:pgMar w:top="1440" w:right="1800" w:bottom="1440" w:left="1800" w:header="851" w:footer="992" w:gutter="0"/>
          <w:cols w:space="720"/>
          <w:docGrid w:type="lines" w:linePitch="312"/>
        </w:sectPr>
      </w:pPr>
      <w:r w:rsidRPr="00D02ED3">
        <w:rPr>
          <w:rFonts w:ascii="仿宋" w:eastAsia="仿宋" w:hAnsi="仿宋" w:hint="eastAsia"/>
          <w:color w:val="000000"/>
          <w:sz w:val="24"/>
          <w:szCs w:val="24"/>
        </w:rPr>
        <w:t>本协议双方法定代表人或授权代表人签章、签订地、签订日</w:t>
      </w:r>
    </w:p>
    <w:p w:rsidR="00455B3A" w:rsidRPr="00D02ED3" w:rsidRDefault="00455B3A">
      <w:pPr>
        <w:spacing w:line="360" w:lineRule="auto"/>
        <w:rPr>
          <w:rFonts w:ascii="仿宋" w:eastAsia="仿宋" w:hAnsi="仿宋"/>
          <w:color w:val="000000"/>
          <w:sz w:val="24"/>
        </w:rPr>
      </w:pPr>
      <w:r w:rsidRPr="00D02ED3">
        <w:rPr>
          <w:rFonts w:ascii="仿宋" w:eastAsia="仿宋" w:hAnsi="仿宋" w:hint="eastAsia"/>
          <w:color w:val="000000"/>
          <w:sz w:val="24"/>
        </w:rPr>
        <w:lastRenderedPageBreak/>
        <w:t>（本页为《托管协议》签署页，无正文）</w:t>
      </w:r>
    </w:p>
    <w:p w:rsidR="00455B3A" w:rsidRPr="00D02ED3" w:rsidRDefault="00455B3A">
      <w:pPr>
        <w:autoSpaceDE w:val="0"/>
        <w:autoSpaceDN w:val="0"/>
        <w:spacing w:line="360" w:lineRule="auto"/>
        <w:textAlignment w:val="bottom"/>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r w:rsidRPr="00D02ED3">
        <w:rPr>
          <w:rFonts w:ascii="仿宋" w:eastAsia="仿宋" w:hAnsi="仿宋" w:hint="eastAsia"/>
          <w:color w:val="000000"/>
          <w:sz w:val="24"/>
        </w:rPr>
        <w:t>基金管理人：财通基金管理有限公司 （公章）</w:t>
      </w: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r w:rsidRPr="00D02ED3">
        <w:rPr>
          <w:rFonts w:ascii="仿宋" w:eastAsia="仿宋" w:hAnsi="仿宋" w:hint="eastAsia"/>
          <w:color w:val="000000"/>
          <w:sz w:val="24"/>
        </w:rPr>
        <w:t xml:space="preserve">法定代表人或授权代表：                   </w:t>
      </w: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r w:rsidRPr="00D02ED3">
        <w:rPr>
          <w:rFonts w:ascii="仿宋" w:eastAsia="仿宋" w:hAnsi="仿宋" w:hint="eastAsia"/>
          <w:color w:val="000000"/>
          <w:sz w:val="24"/>
        </w:rPr>
        <w:t>基金托管人：中国</w:t>
      </w:r>
      <w:r w:rsidRPr="00D02ED3">
        <w:rPr>
          <w:rFonts w:ascii="仿宋" w:eastAsia="仿宋" w:hAnsi="仿宋" w:hint="eastAsia"/>
          <w:color w:val="000000"/>
          <w:sz w:val="24"/>
          <w:szCs w:val="20"/>
        </w:rPr>
        <w:t>光大</w:t>
      </w:r>
      <w:r w:rsidRPr="00D02ED3">
        <w:rPr>
          <w:rFonts w:ascii="仿宋" w:eastAsia="仿宋" w:hAnsi="仿宋" w:hint="eastAsia"/>
          <w:color w:val="000000"/>
          <w:sz w:val="24"/>
        </w:rPr>
        <w:t>银行股份有限公司 （公章）</w:t>
      </w: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p>
    <w:p w:rsidR="00455B3A" w:rsidRPr="00D02ED3" w:rsidRDefault="00455B3A">
      <w:pPr>
        <w:spacing w:line="360" w:lineRule="auto"/>
        <w:ind w:right="26"/>
        <w:rPr>
          <w:rFonts w:ascii="仿宋" w:eastAsia="仿宋" w:hAnsi="仿宋"/>
          <w:color w:val="000000"/>
          <w:sz w:val="24"/>
        </w:rPr>
      </w:pPr>
      <w:r w:rsidRPr="00D02ED3">
        <w:rPr>
          <w:rFonts w:ascii="仿宋" w:eastAsia="仿宋" w:hAnsi="仿宋" w:hint="eastAsia"/>
          <w:color w:val="000000"/>
          <w:sz w:val="24"/>
        </w:rPr>
        <w:t xml:space="preserve">法定代表人或授权代表：                   </w:t>
      </w:r>
    </w:p>
    <w:p w:rsidR="00455B3A" w:rsidRPr="00D02ED3" w:rsidRDefault="00455B3A">
      <w:pPr>
        <w:spacing w:line="360" w:lineRule="auto"/>
        <w:ind w:right="26"/>
        <w:rPr>
          <w:rFonts w:ascii="仿宋" w:eastAsia="仿宋" w:hAnsi="仿宋"/>
          <w:b/>
          <w:color w:val="000000"/>
          <w:sz w:val="24"/>
        </w:rPr>
      </w:pPr>
    </w:p>
    <w:p w:rsidR="00455B3A" w:rsidRPr="00D02ED3" w:rsidRDefault="00455B3A">
      <w:pPr>
        <w:spacing w:line="360" w:lineRule="auto"/>
        <w:ind w:right="26"/>
        <w:rPr>
          <w:rFonts w:ascii="仿宋" w:eastAsia="仿宋" w:hAnsi="仿宋"/>
          <w:b/>
          <w:color w:val="000000"/>
          <w:sz w:val="24"/>
        </w:rPr>
      </w:pPr>
    </w:p>
    <w:p w:rsidR="00455B3A" w:rsidRPr="00D02ED3" w:rsidRDefault="00455B3A">
      <w:pPr>
        <w:spacing w:line="360" w:lineRule="auto"/>
        <w:ind w:right="26"/>
        <w:rPr>
          <w:rFonts w:ascii="仿宋" w:eastAsia="仿宋" w:hAnsi="仿宋"/>
          <w:b/>
          <w:color w:val="000000"/>
          <w:sz w:val="24"/>
        </w:rPr>
      </w:pPr>
    </w:p>
    <w:p w:rsidR="00455B3A" w:rsidRPr="00D02ED3" w:rsidRDefault="00455B3A">
      <w:pPr>
        <w:spacing w:line="360" w:lineRule="auto"/>
        <w:ind w:right="26"/>
        <w:rPr>
          <w:rFonts w:ascii="仿宋" w:eastAsia="仿宋" w:hAnsi="仿宋"/>
          <w:b/>
          <w:color w:val="000000"/>
          <w:sz w:val="24"/>
        </w:rPr>
      </w:pPr>
    </w:p>
    <w:p w:rsidR="00455B3A" w:rsidRPr="00D02ED3" w:rsidRDefault="00455B3A">
      <w:pPr>
        <w:spacing w:line="360" w:lineRule="auto"/>
        <w:ind w:right="26"/>
        <w:rPr>
          <w:rFonts w:ascii="仿宋" w:eastAsia="仿宋" w:hAnsi="仿宋"/>
          <w:b/>
          <w:color w:val="000000"/>
          <w:sz w:val="24"/>
        </w:rPr>
      </w:pPr>
    </w:p>
    <w:p w:rsidR="00455B3A" w:rsidRPr="00D02ED3" w:rsidRDefault="00455B3A">
      <w:pPr>
        <w:spacing w:line="360" w:lineRule="auto"/>
        <w:ind w:right="26"/>
        <w:rPr>
          <w:rFonts w:ascii="仿宋" w:eastAsia="仿宋" w:hAnsi="仿宋"/>
          <w:b/>
          <w:color w:val="000000"/>
          <w:sz w:val="24"/>
        </w:rPr>
      </w:pPr>
    </w:p>
    <w:p w:rsidR="00455B3A" w:rsidRPr="00D02ED3" w:rsidRDefault="00455B3A">
      <w:pPr>
        <w:spacing w:before="60" w:after="60" w:line="360" w:lineRule="auto"/>
        <w:rPr>
          <w:rFonts w:ascii="仿宋" w:eastAsia="仿宋" w:hAnsi="仿宋"/>
          <w:color w:val="000000"/>
          <w:sz w:val="24"/>
        </w:rPr>
      </w:pPr>
      <w:r w:rsidRPr="00D02ED3">
        <w:rPr>
          <w:rFonts w:ascii="仿宋" w:eastAsia="仿宋" w:hAnsi="仿宋" w:hint="eastAsia"/>
          <w:color w:val="000000"/>
          <w:sz w:val="24"/>
        </w:rPr>
        <w:t>签订日：</w:t>
      </w:r>
    </w:p>
    <w:p w:rsidR="00455B3A" w:rsidRPr="00D02ED3" w:rsidRDefault="00455B3A">
      <w:pPr>
        <w:spacing w:before="60" w:after="60" w:line="360" w:lineRule="auto"/>
        <w:rPr>
          <w:rFonts w:ascii="仿宋" w:eastAsia="仿宋" w:hAnsi="仿宋"/>
          <w:color w:val="000000"/>
          <w:sz w:val="24"/>
        </w:rPr>
      </w:pPr>
      <w:r w:rsidRPr="00D02ED3">
        <w:rPr>
          <w:rFonts w:ascii="仿宋" w:eastAsia="仿宋" w:hAnsi="仿宋" w:hint="eastAsia"/>
          <w:color w:val="000000"/>
          <w:sz w:val="24"/>
        </w:rPr>
        <w:t xml:space="preserve">签订地：　</w:t>
      </w:r>
    </w:p>
    <w:p w:rsidR="00455B3A" w:rsidRPr="00D02ED3" w:rsidRDefault="00455B3A">
      <w:pPr>
        <w:spacing w:line="360" w:lineRule="auto"/>
        <w:ind w:right="26"/>
        <w:rPr>
          <w:rFonts w:ascii="仿宋" w:eastAsia="仿宋" w:hAnsi="仿宋"/>
          <w:color w:val="000000"/>
        </w:rPr>
      </w:pPr>
      <w:bookmarkStart w:id="37" w:name="_Hlt89590562"/>
      <w:bookmarkEnd w:id="37"/>
    </w:p>
    <w:p w:rsidR="00455B3A" w:rsidRPr="00D02ED3" w:rsidRDefault="00455B3A">
      <w:pPr>
        <w:rPr>
          <w:rFonts w:ascii="仿宋" w:eastAsia="仿宋" w:hAnsi="仿宋"/>
          <w:color w:val="000000"/>
        </w:rPr>
      </w:pPr>
    </w:p>
    <w:sectPr w:rsidR="00455B3A" w:rsidRPr="00D02ED3">
      <w:footerReference w:type="default" r:id="rId2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B50" w:rsidRDefault="00D17B50">
      <w:r>
        <w:separator/>
      </w:r>
    </w:p>
  </w:endnote>
  <w:endnote w:type="continuationSeparator" w:id="0">
    <w:p w:rsidR="00D17B50" w:rsidRDefault="00D17B5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3A" w:rsidRDefault="00455B3A">
    <w:pPr>
      <w:pStyle w:val="ab"/>
      <w:jc w:val="center"/>
    </w:pPr>
    <w:fldSimple w:instr=" PAGE   \* MERGEFORMAT ">
      <w:r w:rsidR="00D02ED3" w:rsidRPr="00D02ED3">
        <w:rPr>
          <w:noProof/>
          <w:lang w:val="zh-CN" w:eastAsia="zh-CN"/>
        </w:rPr>
        <w:t>48</w:t>
      </w:r>
    </w:fldSimple>
  </w:p>
  <w:p w:rsidR="00455B3A" w:rsidRDefault="00455B3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3A" w:rsidRDefault="00455B3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B50" w:rsidRDefault="00D17B50">
      <w:r>
        <w:separator/>
      </w:r>
    </w:p>
  </w:footnote>
  <w:footnote w:type="continuationSeparator" w:id="0">
    <w:p w:rsidR="00D17B50" w:rsidRDefault="00D17B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274"/>
    <w:multiLevelType w:val="multilevel"/>
    <w:tmpl w:val="03BA2274"/>
    <w:lvl w:ilvl="0">
      <w:start w:val="1"/>
      <w:numFmt w:val="decimal"/>
      <w:lvlText w:val="（%1）"/>
      <w:lvlJc w:val="left"/>
      <w:pPr>
        <w:ind w:left="1035" w:hanging="720"/>
      </w:pPr>
      <w:rPr>
        <w:rFonts w:ascii="仿宋_GB2312" w:eastAsia="仿宋_GB2312" w:hAnsi="Times New Roman" w:cs="Times New Roman" w:hint="default"/>
        <w:color w:val="000000"/>
        <w:sz w:val="21"/>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560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3E7"/>
    <w:rsid w:val="00041AEC"/>
    <w:rsid w:val="0005347F"/>
    <w:rsid w:val="00056DDC"/>
    <w:rsid w:val="00072B35"/>
    <w:rsid w:val="00072FAD"/>
    <w:rsid w:val="000767F8"/>
    <w:rsid w:val="000B5087"/>
    <w:rsid w:val="000B77D0"/>
    <w:rsid w:val="00106B19"/>
    <w:rsid w:val="00106CE5"/>
    <w:rsid w:val="001233E7"/>
    <w:rsid w:val="001759E1"/>
    <w:rsid w:val="00177463"/>
    <w:rsid w:val="00180F93"/>
    <w:rsid w:val="0018464E"/>
    <w:rsid w:val="001B31C8"/>
    <w:rsid w:val="001B7222"/>
    <w:rsid w:val="001D28B9"/>
    <w:rsid w:val="001F140F"/>
    <w:rsid w:val="00210FBD"/>
    <w:rsid w:val="00232D8C"/>
    <w:rsid w:val="002815AD"/>
    <w:rsid w:val="002855D6"/>
    <w:rsid w:val="0029543C"/>
    <w:rsid w:val="002A1C20"/>
    <w:rsid w:val="002B3E04"/>
    <w:rsid w:val="002C57BC"/>
    <w:rsid w:val="00311E49"/>
    <w:rsid w:val="00324222"/>
    <w:rsid w:val="00334365"/>
    <w:rsid w:val="00355AD1"/>
    <w:rsid w:val="00364EE3"/>
    <w:rsid w:val="00373C5C"/>
    <w:rsid w:val="0039569A"/>
    <w:rsid w:val="003B23A2"/>
    <w:rsid w:val="00406BBD"/>
    <w:rsid w:val="00413367"/>
    <w:rsid w:val="00434115"/>
    <w:rsid w:val="00436BE8"/>
    <w:rsid w:val="00441E33"/>
    <w:rsid w:val="00452708"/>
    <w:rsid w:val="00455B3A"/>
    <w:rsid w:val="00464515"/>
    <w:rsid w:val="004826B4"/>
    <w:rsid w:val="0048768F"/>
    <w:rsid w:val="004B490A"/>
    <w:rsid w:val="004D36A3"/>
    <w:rsid w:val="004E6755"/>
    <w:rsid w:val="0050076F"/>
    <w:rsid w:val="00501B87"/>
    <w:rsid w:val="005039BE"/>
    <w:rsid w:val="005104C2"/>
    <w:rsid w:val="0051699A"/>
    <w:rsid w:val="005568D9"/>
    <w:rsid w:val="0058414E"/>
    <w:rsid w:val="005A0504"/>
    <w:rsid w:val="005B30FC"/>
    <w:rsid w:val="005E3A66"/>
    <w:rsid w:val="005F3CF7"/>
    <w:rsid w:val="0060590D"/>
    <w:rsid w:val="00610682"/>
    <w:rsid w:val="00611C5F"/>
    <w:rsid w:val="00622BCA"/>
    <w:rsid w:val="00630BF2"/>
    <w:rsid w:val="00640C48"/>
    <w:rsid w:val="006428EF"/>
    <w:rsid w:val="006475C6"/>
    <w:rsid w:val="006636A0"/>
    <w:rsid w:val="00663D0A"/>
    <w:rsid w:val="00670DC3"/>
    <w:rsid w:val="006711C5"/>
    <w:rsid w:val="00671824"/>
    <w:rsid w:val="006A6FD5"/>
    <w:rsid w:val="006C2F86"/>
    <w:rsid w:val="006C5E4C"/>
    <w:rsid w:val="006C6DCE"/>
    <w:rsid w:val="006D2525"/>
    <w:rsid w:val="006E550A"/>
    <w:rsid w:val="00700CDE"/>
    <w:rsid w:val="007365FD"/>
    <w:rsid w:val="00743B4B"/>
    <w:rsid w:val="00762C1A"/>
    <w:rsid w:val="00764592"/>
    <w:rsid w:val="00774518"/>
    <w:rsid w:val="00783383"/>
    <w:rsid w:val="007B4F41"/>
    <w:rsid w:val="007C46C3"/>
    <w:rsid w:val="007F040A"/>
    <w:rsid w:val="008769C2"/>
    <w:rsid w:val="008928E4"/>
    <w:rsid w:val="008A50B1"/>
    <w:rsid w:val="008A5127"/>
    <w:rsid w:val="008A6750"/>
    <w:rsid w:val="008C1BAD"/>
    <w:rsid w:val="008C3810"/>
    <w:rsid w:val="008C39FE"/>
    <w:rsid w:val="008C5EB7"/>
    <w:rsid w:val="008D0AF7"/>
    <w:rsid w:val="008E21E0"/>
    <w:rsid w:val="008F1508"/>
    <w:rsid w:val="0091774C"/>
    <w:rsid w:val="00940548"/>
    <w:rsid w:val="00946847"/>
    <w:rsid w:val="00946DEA"/>
    <w:rsid w:val="0095475F"/>
    <w:rsid w:val="00957E19"/>
    <w:rsid w:val="0096036B"/>
    <w:rsid w:val="009A7A27"/>
    <w:rsid w:val="009B6101"/>
    <w:rsid w:val="009D5D7E"/>
    <w:rsid w:val="009D6177"/>
    <w:rsid w:val="009E02C7"/>
    <w:rsid w:val="009E3BFC"/>
    <w:rsid w:val="00A0486D"/>
    <w:rsid w:val="00A11A1E"/>
    <w:rsid w:val="00A25236"/>
    <w:rsid w:val="00A32117"/>
    <w:rsid w:val="00A36E62"/>
    <w:rsid w:val="00A8567A"/>
    <w:rsid w:val="00AB76B7"/>
    <w:rsid w:val="00AC3765"/>
    <w:rsid w:val="00AD1598"/>
    <w:rsid w:val="00AD272D"/>
    <w:rsid w:val="00AD41B2"/>
    <w:rsid w:val="00AE1F0D"/>
    <w:rsid w:val="00B167C3"/>
    <w:rsid w:val="00B6002B"/>
    <w:rsid w:val="00B609CB"/>
    <w:rsid w:val="00B60E39"/>
    <w:rsid w:val="00B60EE6"/>
    <w:rsid w:val="00B937B6"/>
    <w:rsid w:val="00BC44E6"/>
    <w:rsid w:val="00BE3193"/>
    <w:rsid w:val="00BE5E94"/>
    <w:rsid w:val="00BE65C0"/>
    <w:rsid w:val="00BF0479"/>
    <w:rsid w:val="00BF66CF"/>
    <w:rsid w:val="00C0368A"/>
    <w:rsid w:val="00C1048F"/>
    <w:rsid w:val="00C56336"/>
    <w:rsid w:val="00C65CEF"/>
    <w:rsid w:val="00C81CF9"/>
    <w:rsid w:val="00CC2EE2"/>
    <w:rsid w:val="00CD48F8"/>
    <w:rsid w:val="00CE2918"/>
    <w:rsid w:val="00CF791A"/>
    <w:rsid w:val="00D00BE1"/>
    <w:rsid w:val="00D02ED3"/>
    <w:rsid w:val="00D10FBB"/>
    <w:rsid w:val="00D117E2"/>
    <w:rsid w:val="00D17B50"/>
    <w:rsid w:val="00D255CB"/>
    <w:rsid w:val="00D65407"/>
    <w:rsid w:val="00D728DD"/>
    <w:rsid w:val="00D85A5D"/>
    <w:rsid w:val="00D9692F"/>
    <w:rsid w:val="00DE39C6"/>
    <w:rsid w:val="00DE57DB"/>
    <w:rsid w:val="00DF3F4F"/>
    <w:rsid w:val="00E1312D"/>
    <w:rsid w:val="00E35026"/>
    <w:rsid w:val="00E424DF"/>
    <w:rsid w:val="00E60971"/>
    <w:rsid w:val="00E84BC7"/>
    <w:rsid w:val="00E90454"/>
    <w:rsid w:val="00EA76F6"/>
    <w:rsid w:val="00EC4765"/>
    <w:rsid w:val="00ED07B9"/>
    <w:rsid w:val="00F02713"/>
    <w:rsid w:val="00F05D61"/>
    <w:rsid w:val="00F06C99"/>
    <w:rsid w:val="00F152C2"/>
    <w:rsid w:val="00F15E5D"/>
    <w:rsid w:val="00F2490D"/>
    <w:rsid w:val="00F320DC"/>
    <w:rsid w:val="00F46AF8"/>
    <w:rsid w:val="00FB633D"/>
    <w:rsid w:val="00FC5F4C"/>
    <w:rsid w:val="00FD1224"/>
    <w:rsid w:val="032C2849"/>
    <w:rsid w:val="0AEE168F"/>
    <w:rsid w:val="216472F1"/>
    <w:rsid w:val="33DF3AA9"/>
    <w:rsid w:val="3A715AF1"/>
    <w:rsid w:val="3CD6082C"/>
    <w:rsid w:val="50066D18"/>
    <w:rsid w:val="51F20BDE"/>
    <w:rsid w:val="5BD33F95"/>
    <w:rsid w:val="65921B80"/>
    <w:rsid w:val="67D01261"/>
    <w:rsid w:val="69060D38"/>
    <w:rsid w:val="69C573EE"/>
    <w:rsid w:val="69F12515"/>
    <w:rsid w:val="6F4027E2"/>
    <w:rsid w:val="73996704"/>
    <w:rsid w:val="750A53C3"/>
    <w:rsid w:val="77445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annotation reference"/>
    <w:basedOn w:val="a0"/>
    <w:uiPriority w:val="99"/>
    <w:unhideWhenUsed/>
    <w:rPr>
      <w:sz w:val="21"/>
      <w:szCs w:val="21"/>
    </w:rPr>
  </w:style>
  <w:style w:type="character" w:customStyle="1" w:styleId="Char">
    <w:name w:val="批注文字 Char"/>
    <w:basedOn w:val="a0"/>
    <w:link w:val="a5"/>
    <w:uiPriority w:val="99"/>
    <w:semiHidden/>
    <w:rPr>
      <w:kern w:val="2"/>
      <w:sz w:val="21"/>
      <w:szCs w:val="22"/>
    </w:rPr>
  </w:style>
  <w:style w:type="character" w:customStyle="1" w:styleId="Char0">
    <w:name w:val="页眉 Char"/>
    <w:basedOn w:val="a0"/>
    <w:link w:val="a6"/>
    <w:uiPriority w:val="99"/>
    <w:semiHidden/>
    <w:rPr>
      <w:sz w:val="18"/>
      <w:szCs w:val="18"/>
    </w:rPr>
  </w:style>
  <w:style w:type="character" w:customStyle="1" w:styleId="1Char">
    <w:name w:val="标题 1 Char"/>
    <w:basedOn w:val="a0"/>
    <w:link w:val="1"/>
    <w:rPr>
      <w:rFonts w:ascii="Times New Roman" w:hAnsi="Times New Roman"/>
      <w:b/>
      <w:bCs/>
      <w:kern w:val="44"/>
      <w:sz w:val="44"/>
      <w:szCs w:val="44"/>
    </w:rPr>
  </w:style>
  <w:style w:type="character" w:customStyle="1" w:styleId="2Char">
    <w:name w:val="标题 2 Char"/>
    <w:basedOn w:val="a0"/>
    <w:link w:val="2"/>
    <w:semiHidden/>
    <w:rPr>
      <w:rFonts w:ascii="Cambria" w:eastAsia="宋体" w:hAnsi="Cambria" w:cs="宋体"/>
      <w:b/>
      <w:bCs/>
      <w:sz w:val="32"/>
      <w:szCs w:val="32"/>
    </w:rPr>
  </w:style>
  <w:style w:type="character" w:customStyle="1" w:styleId="Char1">
    <w:name w:val="批注主题 Char"/>
    <w:basedOn w:val="Char"/>
    <w:link w:val="a7"/>
    <w:uiPriority w:val="99"/>
    <w:semiHidden/>
    <w:rPr>
      <w:b/>
      <w:bCs/>
    </w:rPr>
  </w:style>
  <w:style w:type="character" w:customStyle="1" w:styleId="Char2">
    <w:name w:val="文档结构图 Char"/>
    <w:basedOn w:val="a0"/>
    <w:link w:val="a8"/>
    <w:uiPriority w:val="99"/>
    <w:semiHidden/>
    <w:rPr>
      <w:rFonts w:ascii="宋体"/>
      <w:kern w:val="2"/>
      <w:sz w:val="18"/>
      <w:szCs w:val="18"/>
    </w:rPr>
  </w:style>
  <w:style w:type="character" w:customStyle="1" w:styleId="Char3">
    <w:name w:val="批注框文本 Char"/>
    <w:basedOn w:val="a0"/>
    <w:link w:val="a9"/>
    <w:uiPriority w:val="99"/>
    <w:semiHidden/>
    <w:rPr>
      <w:rFonts w:ascii="Calibri" w:eastAsia="宋体" w:hAnsi="Calibri" w:cs="Times New Roman"/>
      <w:sz w:val="18"/>
      <w:szCs w:val="18"/>
    </w:rPr>
  </w:style>
  <w:style w:type="character" w:customStyle="1" w:styleId="Char4">
    <w:name w:val="标题 Char"/>
    <w:basedOn w:val="a0"/>
    <w:link w:val="aa"/>
    <w:uiPriority w:val="10"/>
    <w:rPr>
      <w:rFonts w:ascii="Cambria" w:eastAsia="宋体" w:hAnsi="Cambria" w:cs="Times New Roman"/>
      <w:b/>
      <w:bCs/>
      <w:sz w:val="32"/>
      <w:szCs w:val="32"/>
    </w:rPr>
  </w:style>
  <w:style w:type="character" w:customStyle="1" w:styleId="Char5">
    <w:name w:val="页脚 Char"/>
    <w:basedOn w:val="a0"/>
    <w:link w:val="ab"/>
    <w:uiPriority w:val="99"/>
    <w:rPr>
      <w:sz w:val="18"/>
      <w:szCs w:val="18"/>
    </w:rPr>
  </w:style>
  <w:style w:type="paragraph" w:styleId="10">
    <w:name w:val="toc 1"/>
    <w:basedOn w:val="a"/>
    <w:next w:val="a"/>
    <w:uiPriority w:val="39"/>
    <w:unhideWhenUsed/>
    <w:pPr>
      <w:widowControl/>
      <w:spacing w:after="100" w:line="276" w:lineRule="auto"/>
      <w:jc w:val="left"/>
    </w:pPr>
    <w:rPr>
      <w:kern w:val="0"/>
      <w:sz w:val="22"/>
    </w:rPr>
  </w:style>
  <w:style w:type="paragraph" w:styleId="a7">
    <w:name w:val="annotation subject"/>
    <w:basedOn w:val="a5"/>
    <w:next w:val="a5"/>
    <w:link w:val="Char1"/>
    <w:uiPriority w:val="99"/>
    <w:unhideWhenUsed/>
    <w:rPr>
      <w:b/>
      <w:bCs/>
    </w:rPr>
  </w:style>
  <w:style w:type="paragraph" w:styleId="a9">
    <w:name w:val="Balloon Text"/>
    <w:basedOn w:val="a"/>
    <w:link w:val="Char3"/>
    <w:uiPriority w:val="99"/>
    <w:unhideWhenUsed/>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2"/>
    <w:uiPriority w:val="99"/>
    <w:unhideWhenUsed/>
    <w:rPr>
      <w:rFonts w:ascii="宋体"/>
      <w:sz w:val="18"/>
      <w:szCs w:val="18"/>
    </w:rPr>
  </w:style>
  <w:style w:type="paragraph" w:styleId="ab">
    <w:name w:val="footer"/>
    <w:basedOn w:val="a"/>
    <w:link w:val="Char5"/>
    <w:uiPriority w:val="99"/>
    <w:unhideWhenUsed/>
    <w:pPr>
      <w:tabs>
        <w:tab w:val="center" w:pos="4153"/>
        <w:tab w:val="right" w:pos="8306"/>
      </w:tabs>
      <w:snapToGrid w:val="0"/>
      <w:jc w:val="left"/>
    </w:pPr>
    <w:rPr>
      <w:sz w:val="18"/>
      <w:szCs w:val="18"/>
    </w:rPr>
  </w:style>
  <w:style w:type="paragraph" w:styleId="a5">
    <w:name w:val="annotation text"/>
    <w:basedOn w:val="a"/>
    <w:link w:val="Char"/>
    <w:uiPriority w:val="99"/>
    <w:unhideWhenUsed/>
    <w:pPr>
      <w:jc w:val="left"/>
    </w:p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paragraph" w:styleId="ac">
    <w:name w:val="Revision"/>
    <w:uiPriority w:val="99"/>
    <w:semiHidden/>
    <w:rPr>
      <w:kern w:val="2"/>
      <w:sz w:val="21"/>
      <w:szCs w:val="22"/>
    </w:rPr>
  </w:style>
  <w:style w:type="paragraph" w:styleId="ad">
    <w:name w:val="List Paragraph"/>
    <w:basedOn w:val="a"/>
    <w:uiPriority w:val="34"/>
    <w:qFormat/>
    <w:pPr>
      <w:ind w:firstLineChars="200" w:firstLine="420"/>
    </w:pPr>
    <w:rPr>
      <w:rFonts w:ascii="Times New Roman" w:hAnsi="Times New Roman"/>
      <w:szCs w:val="24"/>
    </w:rPr>
  </w:style>
  <w:style w:type="paragraph" w:customStyle="1" w:styleId="31">
    <w:name w:val="正文文本缩进 31"/>
    <w:basedOn w:val="a"/>
    <w:pPr>
      <w:autoSpaceDE w:val="0"/>
      <w:autoSpaceDN w:val="0"/>
      <w:adjustRightInd w:val="0"/>
      <w:spacing w:line="360" w:lineRule="auto"/>
      <w:ind w:left="420" w:firstLine="435"/>
    </w:pPr>
    <w:rPr>
      <w:rFonts w:ascii="Times New Roman" w:hAnsi="Times New Roman"/>
      <w:color w:val="0000FF"/>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37995;&#20803;&#21512;&#20139;&#20998;&#32423;&#20538;&#21048;&#22411;&#35777;&#21048;&#25237;&#36164;&#22522;&#37329;-&#25176;&#31649;&#21327;&#35758;%2020140625.doc" TargetMode="External"/><Relationship Id="rId13" Type="http://schemas.openxmlformats.org/officeDocument/2006/relationships/hyperlink" Target="file:///C:\Users\user\AppData\Local\Temp\&#37995;&#20803;&#21512;&#20139;&#20998;&#32423;&#20538;&#21048;&#22411;&#35777;&#21048;&#25237;&#36164;&#22522;&#37329;-&#25176;&#31649;&#21327;&#35758;%2020140625.doc" TargetMode="External"/><Relationship Id="rId18" Type="http://schemas.openxmlformats.org/officeDocument/2006/relationships/hyperlink" Target="file:///C:\Users\user\AppData\Local\Temp\&#37995;&#20803;&#21512;&#20139;&#20998;&#32423;&#20538;&#21048;&#22411;&#35777;&#21048;&#25237;&#36164;&#22522;&#37329;-&#25176;&#31649;&#21327;&#35758;%2020140625.doc" TargetMode="External"/><Relationship Id="rId26" Type="http://schemas.openxmlformats.org/officeDocument/2006/relationships/hyperlink" Target="file:///C:\Users\user\AppData\Local\Temp\&#37995;&#20803;&#21512;&#20139;&#20998;&#32423;&#20538;&#21048;&#22411;&#35777;&#21048;&#25237;&#36164;&#22522;&#37329;-&#25176;&#31649;&#21327;&#35758;%2020140625.doc" TargetMode="External"/><Relationship Id="rId3" Type="http://schemas.openxmlformats.org/officeDocument/2006/relationships/settings" Target="settings.xml"/><Relationship Id="rId21" Type="http://schemas.openxmlformats.org/officeDocument/2006/relationships/hyperlink" Target="file:///C:\Users\user\AppData\Local\Temp\&#37995;&#20803;&#21512;&#20139;&#20998;&#32423;&#20538;&#21048;&#22411;&#35777;&#21048;&#25237;&#36164;&#22522;&#37329;-&#25176;&#31649;&#21327;&#35758;%2020140625.doc" TargetMode="External"/><Relationship Id="rId7" Type="http://schemas.openxmlformats.org/officeDocument/2006/relationships/hyperlink" Target="file:///C:\Users\user\AppData\Local\Temp\&#37995;&#20803;&#21512;&#20139;&#20998;&#32423;&#20538;&#21048;&#22411;&#35777;&#21048;&#25237;&#36164;&#22522;&#37329;-&#25176;&#31649;&#21327;&#35758;%2020140625.doc" TargetMode="External"/><Relationship Id="rId12" Type="http://schemas.openxmlformats.org/officeDocument/2006/relationships/hyperlink" Target="file:///C:\Users\user\AppData\Local\Temp\&#37995;&#20803;&#21512;&#20139;&#20998;&#32423;&#20538;&#21048;&#22411;&#35777;&#21048;&#25237;&#36164;&#22522;&#37329;-&#25176;&#31649;&#21327;&#35758;%2020140625.doc" TargetMode="External"/><Relationship Id="rId17" Type="http://schemas.openxmlformats.org/officeDocument/2006/relationships/hyperlink" Target="file:///C:\Users\user\AppData\Local\Temp\&#37995;&#20803;&#21512;&#20139;&#20998;&#32423;&#20538;&#21048;&#22411;&#35777;&#21048;&#25237;&#36164;&#22522;&#37329;-&#25176;&#31649;&#21327;&#35758;%2020140625.doc" TargetMode="External"/><Relationship Id="rId25" Type="http://schemas.openxmlformats.org/officeDocument/2006/relationships/hyperlink" Target="file:///C:\Users\user\AppData\Local\Temp\&#37995;&#20803;&#21512;&#20139;&#20998;&#32423;&#20538;&#21048;&#22411;&#35777;&#21048;&#25237;&#36164;&#22522;&#37329;-&#25176;&#31649;&#21327;&#35758;%2020140625.doc" TargetMode="External"/><Relationship Id="rId2" Type="http://schemas.openxmlformats.org/officeDocument/2006/relationships/styles" Target="styles.xml"/><Relationship Id="rId16" Type="http://schemas.openxmlformats.org/officeDocument/2006/relationships/hyperlink" Target="file:///C:\Users\user\AppData\Local\Temp\&#37995;&#20803;&#21512;&#20139;&#20998;&#32423;&#20538;&#21048;&#22411;&#35777;&#21048;&#25237;&#36164;&#22522;&#37329;-&#25176;&#31649;&#21327;&#35758;%2020140625.doc" TargetMode="External"/><Relationship Id="rId20" Type="http://schemas.openxmlformats.org/officeDocument/2006/relationships/hyperlink" Target="file:///C:\Users\user\AppData\Local\Temp\&#37995;&#20803;&#21512;&#20139;&#20998;&#32423;&#20538;&#21048;&#22411;&#35777;&#21048;&#25237;&#36164;&#22522;&#37329;-&#25176;&#31649;&#21327;&#35758;%2020140625.doc"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AppData\Local\Temp\&#37995;&#20803;&#21512;&#20139;&#20998;&#32423;&#20538;&#21048;&#22411;&#35777;&#21048;&#25237;&#36164;&#22522;&#37329;-&#25176;&#31649;&#21327;&#35758;%2020140625.doc" TargetMode="External"/><Relationship Id="rId24" Type="http://schemas.openxmlformats.org/officeDocument/2006/relationships/hyperlink" Target="file:///C:\Users\user\AppData\Local\Temp\&#37995;&#20803;&#21512;&#20139;&#20998;&#32423;&#20538;&#21048;&#22411;&#35777;&#21048;&#25237;&#36164;&#22522;&#37329;-&#25176;&#31649;&#21327;&#35758;%2020140625.doc" TargetMode="External"/><Relationship Id="rId5" Type="http://schemas.openxmlformats.org/officeDocument/2006/relationships/footnotes" Target="footnotes.xml"/><Relationship Id="rId15" Type="http://schemas.openxmlformats.org/officeDocument/2006/relationships/hyperlink" Target="file:///C:\Users\user\AppData\Local\Temp\&#37995;&#20803;&#21512;&#20139;&#20998;&#32423;&#20538;&#21048;&#22411;&#35777;&#21048;&#25237;&#36164;&#22522;&#37329;-&#25176;&#31649;&#21327;&#35758;%2020140625.doc" TargetMode="External"/><Relationship Id="rId23" Type="http://schemas.openxmlformats.org/officeDocument/2006/relationships/hyperlink" Target="file:///C:\Users\user\AppData\Local\Temp\&#37995;&#20803;&#21512;&#20139;&#20998;&#32423;&#20538;&#21048;&#22411;&#35777;&#21048;&#25237;&#36164;&#22522;&#37329;-&#25176;&#31649;&#21327;&#35758;%2020140625.doc" TargetMode="External"/><Relationship Id="rId28" Type="http://schemas.openxmlformats.org/officeDocument/2006/relationships/footer" Target="footer1.xml"/><Relationship Id="rId10" Type="http://schemas.openxmlformats.org/officeDocument/2006/relationships/hyperlink" Target="file:///C:\Users\user\AppData\Local\Temp\&#37995;&#20803;&#21512;&#20139;&#20998;&#32423;&#20538;&#21048;&#22411;&#35777;&#21048;&#25237;&#36164;&#22522;&#37329;-&#25176;&#31649;&#21327;&#35758;%2020140625.doc" TargetMode="External"/><Relationship Id="rId19" Type="http://schemas.openxmlformats.org/officeDocument/2006/relationships/hyperlink" Target="file:///C:\Users\user\AppData\Local\Temp\&#37995;&#20803;&#21512;&#20139;&#20998;&#32423;&#20538;&#21048;&#22411;&#35777;&#21048;&#25237;&#36164;&#22522;&#37329;-&#25176;&#31649;&#21327;&#35758;%2020140625.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AppData\Local\Temp\&#37995;&#20803;&#21512;&#20139;&#20998;&#32423;&#20538;&#21048;&#22411;&#35777;&#21048;&#25237;&#36164;&#22522;&#37329;-&#25176;&#31649;&#21327;&#35758;%2020140625.doc" TargetMode="External"/><Relationship Id="rId14" Type="http://schemas.openxmlformats.org/officeDocument/2006/relationships/hyperlink" Target="file:///C:\Users\user\AppData\Local\Temp\&#37995;&#20803;&#21512;&#20139;&#20998;&#32423;&#20538;&#21048;&#22411;&#35777;&#21048;&#25237;&#36164;&#22522;&#37329;-&#25176;&#31649;&#21327;&#35758;%2020140625.doc" TargetMode="External"/><Relationship Id="rId22" Type="http://schemas.openxmlformats.org/officeDocument/2006/relationships/hyperlink" Target="file:///C:\Users\user\AppData\Local\Temp\&#37995;&#20803;&#21512;&#20139;&#20998;&#32423;&#20538;&#21048;&#22411;&#35777;&#21048;&#25237;&#36164;&#22522;&#37329;-&#25176;&#31649;&#21327;&#35758;%2020140625.doc" TargetMode="External"/><Relationship Id="rId27" Type="http://schemas.openxmlformats.org/officeDocument/2006/relationships/hyperlink" Target="file:///C:\Users\user\AppData\Local\Temp\&#37995;&#20803;&#21512;&#20139;&#20998;&#32423;&#20538;&#21048;&#22411;&#35777;&#21048;&#25237;&#36164;&#22522;&#37329;-&#25176;&#31649;&#21327;&#35758;%2020140625.doc"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4663</Words>
  <Characters>26580</Characters>
  <Application>Microsoft Office Word</Application>
  <DocSecurity>0</DocSecurity>
  <Lines>221</Lines>
  <Paragraphs>62</Paragraphs>
  <ScaleCrop>false</ScaleCrop>
  <Company>Microsoft</Company>
  <LinksUpToDate>false</LinksUpToDate>
  <CharactersWithSpaces>31181</CharactersWithSpaces>
  <SharedDoc>false</SharedDoc>
  <HLinks>
    <vt:vector size="126" baseType="variant">
      <vt:variant>
        <vt:i4>-365527591</vt:i4>
      </vt:variant>
      <vt:variant>
        <vt:i4>122</vt:i4>
      </vt:variant>
      <vt:variant>
        <vt:i4>0</vt:i4>
      </vt:variant>
      <vt:variant>
        <vt:i4>5</vt:i4>
      </vt:variant>
      <vt:variant>
        <vt:lpwstr>C:\Users\user\AppData\Local\Temp\鑫元合享分级债券型证券投资基金-托管协议 20140625.doc</vt:lpwstr>
      </vt:variant>
      <vt:variant>
        <vt:lpwstr>_Toc264617161</vt:lpwstr>
      </vt:variant>
      <vt:variant>
        <vt:i4>-365527591</vt:i4>
      </vt:variant>
      <vt:variant>
        <vt:i4>116</vt:i4>
      </vt:variant>
      <vt:variant>
        <vt:i4>0</vt:i4>
      </vt:variant>
      <vt:variant>
        <vt:i4>5</vt:i4>
      </vt:variant>
      <vt:variant>
        <vt:lpwstr>C:\Users\user\AppData\Local\Temp\鑫元合享分级债券型证券投资基金-托管协议 20140625.doc</vt:lpwstr>
      </vt:variant>
      <vt:variant>
        <vt:lpwstr>_Toc264617160</vt:lpwstr>
      </vt:variant>
      <vt:variant>
        <vt:i4>-365593127</vt:i4>
      </vt:variant>
      <vt:variant>
        <vt:i4>110</vt:i4>
      </vt:variant>
      <vt:variant>
        <vt:i4>0</vt:i4>
      </vt:variant>
      <vt:variant>
        <vt:i4>5</vt:i4>
      </vt:variant>
      <vt:variant>
        <vt:lpwstr>C:\Users\user\AppData\Local\Temp\鑫元合享分级债券型证券投资基金-托管协议 20140625.doc</vt:lpwstr>
      </vt:variant>
      <vt:variant>
        <vt:lpwstr>_Toc264617159</vt:lpwstr>
      </vt:variant>
      <vt:variant>
        <vt:i4>-365593127</vt:i4>
      </vt:variant>
      <vt:variant>
        <vt:i4>104</vt:i4>
      </vt:variant>
      <vt:variant>
        <vt:i4>0</vt:i4>
      </vt:variant>
      <vt:variant>
        <vt:i4>5</vt:i4>
      </vt:variant>
      <vt:variant>
        <vt:lpwstr>C:\Users\user\AppData\Local\Temp\鑫元合享分级债券型证券投资基金-托管协议 20140625.doc</vt:lpwstr>
      </vt:variant>
      <vt:variant>
        <vt:lpwstr>_Toc264617158</vt:lpwstr>
      </vt:variant>
      <vt:variant>
        <vt:i4>-365593127</vt:i4>
      </vt:variant>
      <vt:variant>
        <vt:i4>98</vt:i4>
      </vt:variant>
      <vt:variant>
        <vt:i4>0</vt:i4>
      </vt:variant>
      <vt:variant>
        <vt:i4>5</vt:i4>
      </vt:variant>
      <vt:variant>
        <vt:lpwstr>C:\Users\user\AppData\Local\Temp\鑫元合享分级债券型证券投资基金-托管协议 20140625.doc</vt:lpwstr>
      </vt:variant>
      <vt:variant>
        <vt:lpwstr>_Toc264617157</vt:lpwstr>
      </vt:variant>
      <vt:variant>
        <vt:i4>-365593127</vt:i4>
      </vt:variant>
      <vt:variant>
        <vt:i4>92</vt:i4>
      </vt:variant>
      <vt:variant>
        <vt:i4>0</vt:i4>
      </vt:variant>
      <vt:variant>
        <vt:i4>5</vt:i4>
      </vt:variant>
      <vt:variant>
        <vt:lpwstr>C:\Users\user\AppData\Local\Temp\鑫元合享分级债券型证券投资基金-托管协议 20140625.doc</vt:lpwstr>
      </vt:variant>
      <vt:variant>
        <vt:lpwstr>_Toc264617156</vt:lpwstr>
      </vt:variant>
      <vt:variant>
        <vt:i4>-365593127</vt:i4>
      </vt:variant>
      <vt:variant>
        <vt:i4>86</vt:i4>
      </vt:variant>
      <vt:variant>
        <vt:i4>0</vt:i4>
      </vt:variant>
      <vt:variant>
        <vt:i4>5</vt:i4>
      </vt:variant>
      <vt:variant>
        <vt:lpwstr>C:\Users\user\AppData\Local\Temp\鑫元合享分级债券型证券投资基金-托管协议 20140625.doc</vt:lpwstr>
      </vt:variant>
      <vt:variant>
        <vt:lpwstr>_Toc264617155</vt:lpwstr>
      </vt:variant>
      <vt:variant>
        <vt:i4>-365593127</vt:i4>
      </vt:variant>
      <vt:variant>
        <vt:i4>80</vt:i4>
      </vt:variant>
      <vt:variant>
        <vt:i4>0</vt:i4>
      </vt:variant>
      <vt:variant>
        <vt:i4>5</vt:i4>
      </vt:variant>
      <vt:variant>
        <vt:lpwstr>C:\Users\user\AppData\Local\Temp\鑫元合享分级债券型证券投资基金-托管协议 20140625.doc</vt:lpwstr>
      </vt:variant>
      <vt:variant>
        <vt:lpwstr>_Toc264617154</vt:lpwstr>
      </vt:variant>
      <vt:variant>
        <vt:i4>-365593127</vt:i4>
      </vt:variant>
      <vt:variant>
        <vt:i4>74</vt:i4>
      </vt:variant>
      <vt:variant>
        <vt:i4>0</vt:i4>
      </vt:variant>
      <vt:variant>
        <vt:i4>5</vt:i4>
      </vt:variant>
      <vt:variant>
        <vt:lpwstr>C:\Users\user\AppData\Local\Temp\鑫元合享分级债券型证券投资基金-托管协议 20140625.doc</vt:lpwstr>
      </vt:variant>
      <vt:variant>
        <vt:lpwstr>_Toc264617153</vt:lpwstr>
      </vt:variant>
      <vt:variant>
        <vt:i4>-365593127</vt:i4>
      </vt:variant>
      <vt:variant>
        <vt:i4>68</vt:i4>
      </vt:variant>
      <vt:variant>
        <vt:i4>0</vt:i4>
      </vt:variant>
      <vt:variant>
        <vt:i4>5</vt:i4>
      </vt:variant>
      <vt:variant>
        <vt:lpwstr>C:\Users\user\AppData\Local\Temp\鑫元合享分级债券型证券投资基金-托管协议 20140625.doc</vt:lpwstr>
      </vt:variant>
      <vt:variant>
        <vt:lpwstr>_Toc264617152</vt:lpwstr>
      </vt:variant>
      <vt:variant>
        <vt:i4>-365593127</vt:i4>
      </vt:variant>
      <vt:variant>
        <vt:i4>62</vt:i4>
      </vt:variant>
      <vt:variant>
        <vt:i4>0</vt:i4>
      </vt:variant>
      <vt:variant>
        <vt:i4>5</vt:i4>
      </vt:variant>
      <vt:variant>
        <vt:lpwstr>C:\Users\user\AppData\Local\Temp\鑫元合享分级债券型证券投资基金-托管协议 20140625.doc</vt:lpwstr>
      </vt:variant>
      <vt:variant>
        <vt:lpwstr>_Toc264617151</vt:lpwstr>
      </vt:variant>
      <vt:variant>
        <vt:i4>-365593127</vt:i4>
      </vt:variant>
      <vt:variant>
        <vt:i4>56</vt:i4>
      </vt:variant>
      <vt:variant>
        <vt:i4>0</vt:i4>
      </vt:variant>
      <vt:variant>
        <vt:i4>5</vt:i4>
      </vt:variant>
      <vt:variant>
        <vt:lpwstr>C:\Users\user\AppData\Local\Temp\鑫元合享分级债券型证券投资基金-托管协议 20140625.doc</vt:lpwstr>
      </vt:variant>
      <vt:variant>
        <vt:lpwstr>_Toc264617150</vt:lpwstr>
      </vt:variant>
      <vt:variant>
        <vt:i4>-365658663</vt:i4>
      </vt:variant>
      <vt:variant>
        <vt:i4>50</vt:i4>
      </vt:variant>
      <vt:variant>
        <vt:i4>0</vt:i4>
      </vt:variant>
      <vt:variant>
        <vt:i4>5</vt:i4>
      </vt:variant>
      <vt:variant>
        <vt:lpwstr>C:\Users\user\AppData\Local\Temp\鑫元合享分级债券型证券投资基金-托管协议 20140625.doc</vt:lpwstr>
      </vt:variant>
      <vt:variant>
        <vt:lpwstr>_Toc264617149</vt:lpwstr>
      </vt:variant>
      <vt:variant>
        <vt:i4>-365658663</vt:i4>
      </vt:variant>
      <vt:variant>
        <vt:i4>44</vt:i4>
      </vt:variant>
      <vt:variant>
        <vt:i4>0</vt:i4>
      </vt:variant>
      <vt:variant>
        <vt:i4>5</vt:i4>
      </vt:variant>
      <vt:variant>
        <vt:lpwstr>C:\Users\user\AppData\Local\Temp\鑫元合享分级债券型证券投资基金-托管协议 20140625.doc</vt:lpwstr>
      </vt:variant>
      <vt:variant>
        <vt:lpwstr>_Toc264617148</vt:lpwstr>
      </vt:variant>
      <vt:variant>
        <vt:i4>-365658663</vt:i4>
      </vt:variant>
      <vt:variant>
        <vt:i4>38</vt:i4>
      </vt:variant>
      <vt:variant>
        <vt:i4>0</vt:i4>
      </vt:variant>
      <vt:variant>
        <vt:i4>5</vt:i4>
      </vt:variant>
      <vt:variant>
        <vt:lpwstr>C:\Users\user\AppData\Local\Temp\鑫元合享分级债券型证券投资基金-托管协议 20140625.doc</vt:lpwstr>
      </vt:variant>
      <vt:variant>
        <vt:lpwstr>_Toc264617147</vt:lpwstr>
      </vt:variant>
      <vt:variant>
        <vt:i4>-365658663</vt:i4>
      </vt:variant>
      <vt:variant>
        <vt:i4>32</vt:i4>
      </vt:variant>
      <vt:variant>
        <vt:i4>0</vt:i4>
      </vt:variant>
      <vt:variant>
        <vt:i4>5</vt:i4>
      </vt:variant>
      <vt:variant>
        <vt:lpwstr>C:\Users\user\AppData\Local\Temp\鑫元合享分级债券型证券投资基金-托管协议 20140625.doc</vt:lpwstr>
      </vt:variant>
      <vt:variant>
        <vt:lpwstr>_Toc264617146</vt:lpwstr>
      </vt:variant>
      <vt:variant>
        <vt:i4>-365658663</vt:i4>
      </vt:variant>
      <vt:variant>
        <vt:i4>26</vt:i4>
      </vt:variant>
      <vt:variant>
        <vt:i4>0</vt:i4>
      </vt:variant>
      <vt:variant>
        <vt:i4>5</vt:i4>
      </vt:variant>
      <vt:variant>
        <vt:lpwstr>C:\Users\user\AppData\Local\Temp\鑫元合享分级债券型证券投资基金-托管协议 20140625.doc</vt:lpwstr>
      </vt:variant>
      <vt:variant>
        <vt:lpwstr>_Toc264617145</vt:lpwstr>
      </vt:variant>
      <vt:variant>
        <vt:i4>-365658663</vt:i4>
      </vt:variant>
      <vt:variant>
        <vt:i4>20</vt:i4>
      </vt:variant>
      <vt:variant>
        <vt:i4>0</vt:i4>
      </vt:variant>
      <vt:variant>
        <vt:i4>5</vt:i4>
      </vt:variant>
      <vt:variant>
        <vt:lpwstr>C:\Users\user\AppData\Local\Temp\鑫元合享分级债券型证券投资基金-托管协议 20140625.doc</vt:lpwstr>
      </vt:variant>
      <vt:variant>
        <vt:lpwstr>_Toc264617144</vt:lpwstr>
      </vt:variant>
      <vt:variant>
        <vt:i4>-365658663</vt:i4>
      </vt:variant>
      <vt:variant>
        <vt:i4>14</vt:i4>
      </vt:variant>
      <vt:variant>
        <vt:i4>0</vt:i4>
      </vt:variant>
      <vt:variant>
        <vt:i4>5</vt:i4>
      </vt:variant>
      <vt:variant>
        <vt:lpwstr>C:\Users\user\AppData\Local\Temp\鑫元合享分级债券型证券投资基金-托管协议 20140625.doc</vt:lpwstr>
      </vt:variant>
      <vt:variant>
        <vt:lpwstr>_Toc264617143</vt:lpwstr>
      </vt:variant>
      <vt:variant>
        <vt:i4>-365658663</vt:i4>
      </vt:variant>
      <vt:variant>
        <vt:i4>8</vt:i4>
      </vt:variant>
      <vt:variant>
        <vt:i4>0</vt:i4>
      </vt:variant>
      <vt:variant>
        <vt:i4>5</vt:i4>
      </vt:variant>
      <vt:variant>
        <vt:lpwstr>C:\Users\user\AppData\Local\Temp\鑫元合享分级债券型证券投资基金-托管协议 20140625.doc</vt:lpwstr>
      </vt:variant>
      <vt:variant>
        <vt:lpwstr>_Toc264617142</vt:lpwstr>
      </vt:variant>
      <vt:variant>
        <vt:i4>-365658663</vt:i4>
      </vt:variant>
      <vt:variant>
        <vt:i4>2</vt:i4>
      </vt:variant>
      <vt:variant>
        <vt:i4>0</vt:i4>
      </vt:variant>
      <vt:variant>
        <vt:i4>5</vt:i4>
      </vt:variant>
      <vt:variant>
        <vt:lpwstr>C:\Users\user\AppData\Local\Temp\鑫元合享分级债券型证券投资基金-托管协议 20140625.doc</vt:lpwstr>
      </vt:variant>
      <vt:variant>
        <vt:lpwstr>_Toc264617141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徐申骏</cp:lastModifiedBy>
  <cp:revision>2</cp:revision>
  <cp:lastPrinted>2018-03-20T08:10:00Z</cp:lastPrinted>
  <dcterms:created xsi:type="dcterms:W3CDTF">2018-03-22T13:36:00Z</dcterms:created>
  <dcterms:modified xsi:type="dcterms:W3CDTF">2018-03-22T13:36:00Z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